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6617" w14:textId="13F380BA" w:rsidR="00D44B0C" w:rsidRDefault="00D44B0C" w:rsidP="00826D31">
      <w:pPr>
        <w:jc w:val="center"/>
        <w:rPr>
          <w:rFonts w:ascii="Arial" w:hAnsi="Arial" w:cs="Arial"/>
          <w:b/>
          <w:bCs/>
          <w:sz w:val="24"/>
          <w:szCs w:val="24"/>
          <w:u w:val="single"/>
        </w:rPr>
      </w:pPr>
      <w:r>
        <w:rPr>
          <w:noProof/>
        </w:rPr>
        <w:drawing>
          <wp:inline distT="0" distB="0" distL="0" distR="0" wp14:anchorId="008583C7" wp14:editId="4A95633B">
            <wp:extent cx="3200400" cy="741083"/>
            <wp:effectExtent l="0" t="0" r="0" b="1905"/>
            <wp:docPr id="1702048819" name="Picture 170204881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48819" name="Picture 1702048819" descr="A close-up of a logo&#10;&#10;Description automatically generated"/>
                    <pic:cNvPicPr/>
                  </pic:nvPicPr>
                  <pic:blipFill>
                    <a:blip r:embed="rId11"/>
                    <a:stretch>
                      <a:fillRect/>
                    </a:stretch>
                  </pic:blipFill>
                  <pic:spPr>
                    <a:xfrm>
                      <a:off x="0" y="0"/>
                      <a:ext cx="3365321" cy="779272"/>
                    </a:xfrm>
                    <a:prstGeom prst="rect">
                      <a:avLst/>
                    </a:prstGeom>
                  </pic:spPr>
                </pic:pic>
              </a:graphicData>
            </a:graphic>
          </wp:inline>
        </w:drawing>
      </w:r>
    </w:p>
    <w:p w14:paraId="00014CEC" w14:textId="14E71F3F" w:rsidR="00D80AAB" w:rsidRDefault="00250559" w:rsidP="00940FB6">
      <w:pPr>
        <w:spacing w:line="278" w:lineRule="auto"/>
        <w:jc w:val="center"/>
        <w:rPr>
          <w:b/>
          <w:bCs/>
        </w:rPr>
      </w:pPr>
      <w:r w:rsidRPr="00BE7E87">
        <w:rPr>
          <w:b/>
          <w:bCs/>
        </w:rPr>
        <w:t>Gender Pay Gap Report</w:t>
      </w:r>
      <w:r w:rsidR="00940FB6">
        <w:rPr>
          <w:b/>
          <w:bCs/>
        </w:rPr>
        <w:t xml:space="preserve"> - </w:t>
      </w:r>
      <w:r w:rsidRPr="00BE7E87">
        <w:rPr>
          <w:b/>
          <w:bCs/>
        </w:rPr>
        <w:t>Snapshot Date: 31 March 2025</w:t>
      </w:r>
    </w:p>
    <w:p w14:paraId="66EC770F" w14:textId="77777777" w:rsidR="00940FB6" w:rsidRPr="00940FB6" w:rsidRDefault="00940FB6" w:rsidP="00940FB6">
      <w:pPr>
        <w:spacing w:line="278" w:lineRule="auto"/>
        <w:jc w:val="center"/>
        <w:rPr>
          <w:b/>
          <w:bCs/>
        </w:rPr>
      </w:pPr>
    </w:p>
    <w:p w14:paraId="2E090C90" w14:textId="77777777" w:rsidR="00250559" w:rsidRPr="00BE7E87" w:rsidRDefault="00250559" w:rsidP="00250559">
      <w:pPr>
        <w:spacing w:line="278" w:lineRule="auto"/>
        <w:rPr>
          <w:b/>
          <w:bCs/>
        </w:rPr>
      </w:pPr>
      <w:r w:rsidRPr="00BE7E87">
        <w:rPr>
          <w:b/>
          <w:bCs/>
        </w:rPr>
        <w:t>Introduction</w:t>
      </w:r>
    </w:p>
    <w:p w14:paraId="2C33B7B8" w14:textId="77777777" w:rsidR="00250559" w:rsidRPr="00BE7E87" w:rsidRDefault="00250559" w:rsidP="00331BE1">
      <w:pPr>
        <w:spacing w:line="278" w:lineRule="auto"/>
        <w:jc w:val="both"/>
      </w:pPr>
      <w:r w:rsidRPr="00BE7E87">
        <w:t>The College of Richard Collyer is committed to equality, diversity and inclusion, and to ensuring that all staff are paid fairly for the work they undertake. The College uses nationally agreed pay frameworks and applies them consistently across the organisation.</w:t>
      </w:r>
    </w:p>
    <w:p w14:paraId="571BEBA7" w14:textId="77777777" w:rsidR="00250559" w:rsidRPr="00BE7E87" w:rsidRDefault="00250559" w:rsidP="00331BE1">
      <w:pPr>
        <w:spacing w:line="278" w:lineRule="auto"/>
        <w:jc w:val="both"/>
      </w:pPr>
      <w:r w:rsidRPr="00BE7E87">
        <w:t>This report sets out the College’s gender pay gap data in line with the Equality Act 2010 (Gender Pay Gap Information) Regulations 2017. It explains the gender pay gap figures published and the key factors contributing to them.</w:t>
      </w:r>
    </w:p>
    <w:p w14:paraId="652C4F64" w14:textId="77777777" w:rsidR="00250559" w:rsidRPr="00BE7E87" w:rsidRDefault="00250559" w:rsidP="00331BE1">
      <w:pPr>
        <w:spacing w:line="278" w:lineRule="auto"/>
        <w:jc w:val="both"/>
      </w:pPr>
      <w:r w:rsidRPr="00BE7E87">
        <w:t>The gender pay gap shows the difference in average pay between men and women across the whole organisation. It is not the same as equal pay. Equal pay is concerned with men and women receiving the same pay for the same or equivalent work, which the College ensures through the use of nationally agreed pay scales. A gender pay gap can exist even where equal pay is in place if men and women are distributed differently across roles, grades, or levels of seniority.</w:t>
      </w:r>
    </w:p>
    <w:p w14:paraId="6FEE947B" w14:textId="77777777" w:rsidR="00250559" w:rsidRPr="00BE7E87" w:rsidRDefault="00250559" w:rsidP="00250559">
      <w:pPr>
        <w:spacing w:line="278" w:lineRule="auto"/>
        <w:rPr>
          <w:b/>
          <w:bCs/>
        </w:rPr>
      </w:pPr>
      <w:r w:rsidRPr="00BE7E87">
        <w:rPr>
          <w:b/>
          <w:bCs/>
        </w:rPr>
        <w:t>Gender Pay Gap Figures</w:t>
      </w:r>
    </w:p>
    <w:p w14:paraId="2EC314C4" w14:textId="77777777" w:rsidR="00250559" w:rsidRPr="00BE7E87" w:rsidRDefault="00250559" w:rsidP="00250559">
      <w:pPr>
        <w:spacing w:line="278" w:lineRule="auto"/>
      </w:pPr>
      <w:r w:rsidRPr="00BE7E87">
        <w:t>As at the snapshot date of 31 March 2025, the College’s overall gender pay gap figures were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4"/>
        <w:gridCol w:w="851"/>
        <w:gridCol w:w="992"/>
      </w:tblGrid>
      <w:tr w:rsidR="00250559" w:rsidRPr="00BE7E87" w14:paraId="07C44CE4" w14:textId="77777777" w:rsidTr="00B3075B">
        <w:trPr>
          <w:trHeight w:val="257"/>
          <w:tblHeader/>
          <w:tblCellSpacing w:w="15" w:type="dxa"/>
        </w:trPr>
        <w:tc>
          <w:tcPr>
            <w:tcW w:w="659" w:type="dxa"/>
            <w:shd w:val="clear" w:color="auto" w:fill="BDD6EE" w:themeFill="accent1" w:themeFillTint="66"/>
            <w:vAlign w:val="center"/>
            <w:hideMark/>
          </w:tcPr>
          <w:p w14:paraId="0D007434" w14:textId="77777777" w:rsidR="00250559" w:rsidRPr="00BE7E87" w:rsidRDefault="00250559" w:rsidP="00A17787">
            <w:pPr>
              <w:spacing w:line="278" w:lineRule="auto"/>
              <w:rPr>
                <w:b/>
                <w:bCs/>
              </w:rPr>
            </w:pPr>
            <w:r w:rsidRPr="00BE7E87">
              <w:rPr>
                <w:b/>
                <w:bCs/>
              </w:rPr>
              <w:t>Year</w:t>
            </w:r>
          </w:p>
        </w:tc>
        <w:tc>
          <w:tcPr>
            <w:tcW w:w="821" w:type="dxa"/>
            <w:shd w:val="clear" w:color="auto" w:fill="BDD6EE" w:themeFill="accent1" w:themeFillTint="66"/>
            <w:vAlign w:val="center"/>
            <w:hideMark/>
          </w:tcPr>
          <w:p w14:paraId="6576AFED" w14:textId="41F5CEF3" w:rsidR="00250559" w:rsidRPr="00BE7E87" w:rsidRDefault="00250559" w:rsidP="00A17787">
            <w:pPr>
              <w:spacing w:line="278" w:lineRule="auto"/>
              <w:rPr>
                <w:b/>
                <w:bCs/>
              </w:rPr>
            </w:pPr>
            <w:r w:rsidRPr="00BE7E87">
              <w:rPr>
                <w:b/>
                <w:bCs/>
              </w:rPr>
              <w:t xml:space="preserve">Mean </w:t>
            </w:r>
          </w:p>
        </w:tc>
        <w:tc>
          <w:tcPr>
            <w:tcW w:w="947" w:type="dxa"/>
            <w:shd w:val="clear" w:color="auto" w:fill="BDD6EE" w:themeFill="accent1" w:themeFillTint="66"/>
            <w:vAlign w:val="center"/>
            <w:hideMark/>
          </w:tcPr>
          <w:p w14:paraId="15480A6A" w14:textId="0E112283" w:rsidR="00250559" w:rsidRPr="00BE7E87" w:rsidRDefault="00250559" w:rsidP="00A17787">
            <w:pPr>
              <w:spacing w:line="278" w:lineRule="auto"/>
              <w:rPr>
                <w:b/>
                <w:bCs/>
              </w:rPr>
            </w:pPr>
            <w:r w:rsidRPr="00BE7E87">
              <w:rPr>
                <w:b/>
                <w:bCs/>
              </w:rPr>
              <w:t xml:space="preserve">Median </w:t>
            </w:r>
          </w:p>
        </w:tc>
      </w:tr>
      <w:tr w:rsidR="00250559" w:rsidRPr="00BE7E87" w14:paraId="40D71F62" w14:textId="77777777" w:rsidTr="00D17E31">
        <w:trPr>
          <w:trHeight w:val="241"/>
          <w:tblCellSpacing w:w="15" w:type="dxa"/>
        </w:trPr>
        <w:tc>
          <w:tcPr>
            <w:tcW w:w="659" w:type="dxa"/>
            <w:vAlign w:val="center"/>
            <w:hideMark/>
          </w:tcPr>
          <w:p w14:paraId="10C68C24" w14:textId="77777777" w:rsidR="00250559" w:rsidRPr="00BE7E87" w:rsidRDefault="00250559" w:rsidP="00A17787">
            <w:pPr>
              <w:spacing w:line="278" w:lineRule="auto"/>
            </w:pPr>
            <w:r w:rsidRPr="00BE7E87">
              <w:t>2025</w:t>
            </w:r>
          </w:p>
        </w:tc>
        <w:tc>
          <w:tcPr>
            <w:tcW w:w="821" w:type="dxa"/>
            <w:vAlign w:val="center"/>
            <w:hideMark/>
          </w:tcPr>
          <w:p w14:paraId="2BFAF53B" w14:textId="276F2439" w:rsidR="00250559" w:rsidRPr="00BE7E87" w:rsidRDefault="00250559" w:rsidP="00A17787">
            <w:pPr>
              <w:spacing w:line="278" w:lineRule="auto"/>
            </w:pPr>
            <w:r w:rsidRPr="00BE7E87">
              <w:t>26.</w:t>
            </w:r>
            <w:r w:rsidR="00ED494E">
              <w:t>10</w:t>
            </w:r>
            <w:r w:rsidRPr="00BE7E87">
              <w:t>%</w:t>
            </w:r>
          </w:p>
        </w:tc>
        <w:tc>
          <w:tcPr>
            <w:tcW w:w="947" w:type="dxa"/>
            <w:vAlign w:val="center"/>
            <w:hideMark/>
          </w:tcPr>
          <w:p w14:paraId="559E9C18" w14:textId="5C70D34D" w:rsidR="00250559" w:rsidRPr="00BE7E87" w:rsidRDefault="00250559" w:rsidP="00A17787">
            <w:pPr>
              <w:spacing w:line="278" w:lineRule="auto"/>
            </w:pPr>
            <w:r w:rsidRPr="00BE7E87">
              <w:t>4</w:t>
            </w:r>
            <w:r w:rsidR="00ED494E">
              <w:t>8.70</w:t>
            </w:r>
            <w:r w:rsidRPr="00BE7E87">
              <w:t>%</w:t>
            </w:r>
          </w:p>
        </w:tc>
      </w:tr>
      <w:tr w:rsidR="00250559" w:rsidRPr="00BE7E87" w14:paraId="67890B80" w14:textId="77777777" w:rsidTr="00E95350">
        <w:trPr>
          <w:trHeight w:val="299"/>
          <w:tblCellSpacing w:w="15" w:type="dxa"/>
        </w:trPr>
        <w:tc>
          <w:tcPr>
            <w:tcW w:w="659" w:type="dxa"/>
            <w:vAlign w:val="center"/>
            <w:hideMark/>
          </w:tcPr>
          <w:p w14:paraId="17DBC434" w14:textId="77777777" w:rsidR="00250559" w:rsidRPr="00BE7E87" w:rsidRDefault="00250559" w:rsidP="00A17787">
            <w:pPr>
              <w:spacing w:line="278" w:lineRule="auto"/>
            </w:pPr>
            <w:r w:rsidRPr="00BE7E87">
              <w:t>2024</w:t>
            </w:r>
          </w:p>
        </w:tc>
        <w:tc>
          <w:tcPr>
            <w:tcW w:w="821" w:type="dxa"/>
            <w:vAlign w:val="center"/>
            <w:hideMark/>
          </w:tcPr>
          <w:p w14:paraId="6502AAF2" w14:textId="77777777" w:rsidR="00250559" w:rsidRPr="00BE7E87" w:rsidRDefault="00250559" w:rsidP="00A17787">
            <w:pPr>
              <w:spacing w:line="278" w:lineRule="auto"/>
            </w:pPr>
            <w:r w:rsidRPr="00BE7E87">
              <w:t>21.63%</w:t>
            </w:r>
          </w:p>
        </w:tc>
        <w:tc>
          <w:tcPr>
            <w:tcW w:w="947" w:type="dxa"/>
            <w:vAlign w:val="center"/>
            <w:hideMark/>
          </w:tcPr>
          <w:p w14:paraId="3264FEA0" w14:textId="77777777" w:rsidR="00250559" w:rsidRPr="00BE7E87" w:rsidRDefault="00250559" w:rsidP="00A17787">
            <w:pPr>
              <w:spacing w:line="278" w:lineRule="auto"/>
            </w:pPr>
            <w:r w:rsidRPr="00BE7E87">
              <w:t>39.55%</w:t>
            </w:r>
          </w:p>
        </w:tc>
      </w:tr>
    </w:tbl>
    <w:p w14:paraId="51950CFD" w14:textId="77777777" w:rsidR="00D17E31" w:rsidRDefault="00D17E31" w:rsidP="00EE115D">
      <w:pPr>
        <w:pStyle w:val="NoSpacing"/>
      </w:pPr>
    </w:p>
    <w:p w14:paraId="0F8B235E" w14:textId="1E3E2819" w:rsidR="00250559" w:rsidRPr="00BE7E87" w:rsidRDefault="00250559" w:rsidP="005C19B9">
      <w:pPr>
        <w:spacing w:line="278" w:lineRule="auto"/>
        <w:jc w:val="both"/>
      </w:pPr>
      <w:r w:rsidRPr="00BE7E87">
        <w:t>The mean gender pay gap represents the difference between the average hourly pay of men and women. The median gender pay gap represents the difference between the hourly pay of the middle male employee and the middle female employee when pay rates are ranked from lowest to highest.</w:t>
      </w:r>
    </w:p>
    <w:p w14:paraId="67D875E8" w14:textId="77777777" w:rsidR="00250559" w:rsidRPr="00BE7E87" w:rsidRDefault="00250559" w:rsidP="005C19B9">
      <w:pPr>
        <w:spacing w:line="278" w:lineRule="auto"/>
        <w:jc w:val="both"/>
      </w:pPr>
      <w:r w:rsidRPr="00BE7E87">
        <w:t>The significantly higher median gender pay gap indicates that women are more concentrated in lower-paid roles, while a smaller proportion of women occupy the highest-paid positions. As a result, the ‘middle’ female employee earns substantially less than the ‘middle’ male employee, even where pay scales are applied consistently and fairly.</w:t>
      </w:r>
    </w:p>
    <w:p w14:paraId="76303E4A" w14:textId="77777777" w:rsidR="00250559" w:rsidRPr="00BE7E87" w:rsidRDefault="00250559" w:rsidP="00250559">
      <w:pPr>
        <w:spacing w:line="278" w:lineRule="auto"/>
        <w:rPr>
          <w:b/>
          <w:bCs/>
        </w:rPr>
      </w:pPr>
      <w:r w:rsidRPr="00BE7E87">
        <w:rPr>
          <w:b/>
          <w:bCs/>
        </w:rPr>
        <w:t>Gender Distribution by Pay Quartile</w:t>
      </w:r>
    </w:p>
    <w:p w14:paraId="33D28423" w14:textId="77777777" w:rsidR="00250559" w:rsidRDefault="00250559" w:rsidP="005C19B9">
      <w:pPr>
        <w:spacing w:line="278" w:lineRule="auto"/>
        <w:jc w:val="both"/>
      </w:pPr>
      <w:r w:rsidRPr="00BE7E87">
        <w:t>To better understand how the overall gender pay gap arises, pay has been divided into four equal-sized quartiles based on hourly pay rates. The proportion of men and women in each quartile is shown below.</w:t>
      </w:r>
    </w:p>
    <w:p w14:paraId="4FFA9CE9" w14:textId="77777777" w:rsidR="000F1633" w:rsidRDefault="000F1633" w:rsidP="005C19B9">
      <w:pPr>
        <w:spacing w:line="278" w:lineRule="auto"/>
        <w:jc w:val="both"/>
      </w:pPr>
    </w:p>
    <w:p w14:paraId="24D16398" w14:textId="77777777" w:rsidR="006A30F7" w:rsidRDefault="006A30F7" w:rsidP="005C19B9">
      <w:pPr>
        <w:spacing w:line="278" w:lineRule="auto"/>
        <w:jc w:val="both"/>
      </w:pPr>
    </w:p>
    <w:p w14:paraId="1C3C0AEF" w14:textId="77777777" w:rsidR="006A30F7" w:rsidRDefault="006A30F7" w:rsidP="005C19B9">
      <w:pPr>
        <w:spacing w:line="278" w:lineRule="auto"/>
        <w:jc w:val="both"/>
      </w:pPr>
    </w:p>
    <w:p w14:paraId="26AA890E" w14:textId="77777777" w:rsidR="006A30F7" w:rsidRDefault="006A30F7" w:rsidP="005C19B9">
      <w:pPr>
        <w:spacing w:line="278" w:lineRule="auto"/>
        <w:jc w:val="both"/>
      </w:pPr>
    </w:p>
    <w:p w14:paraId="4922E3F7" w14:textId="77777777" w:rsidR="000F1633" w:rsidRDefault="000F1633" w:rsidP="005C19B9">
      <w:pPr>
        <w:spacing w:line="278" w:lineRule="auto"/>
        <w:jc w:val="both"/>
      </w:pPr>
    </w:p>
    <w:p w14:paraId="214D0D3D" w14:textId="21AC64D1" w:rsidR="000F1633" w:rsidRPr="00BE7E87" w:rsidRDefault="000F1633" w:rsidP="005C19B9">
      <w:pPr>
        <w:spacing w:line="278" w:lineRule="auto"/>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3"/>
        <w:gridCol w:w="1001"/>
        <w:gridCol w:w="992"/>
        <w:gridCol w:w="992"/>
        <w:gridCol w:w="993"/>
      </w:tblGrid>
      <w:tr w:rsidR="00706294" w:rsidRPr="00BE7E87" w14:paraId="3DE43144" w14:textId="199BE792" w:rsidTr="00B3075B">
        <w:trPr>
          <w:trHeight w:val="478"/>
          <w:tblHeader/>
          <w:tblCellSpacing w:w="15" w:type="dxa"/>
        </w:trPr>
        <w:tc>
          <w:tcPr>
            <w:tcW w:w="0" w:type="auto"/>
            <w:shd w:val="clear" w:color="auto" w:fill="BDD6EE" w:themeFill="accent1" w:themeFillTint="66"/>
            <w:vAlign w:val="center"/>
            <w:hideMark/>
          </w:tcPr>
          <w:p w14:paraId="3403234D" w14:textId="788D7057" w:rsidR="00706294" w:rsidRPr="00BE7E87" w:rsidRDefault="00706294" w:rsidP="003C18BC">
            <w:pPr>
              <w:spacing w:line="278" w:lineRule="auto"/>
              <w:rPr>
                <w:b/>
                <w:bCs/>
              </w:rPr>
            </w:pPr>
            <w:r>
              <w:rPr>
                <w:b/>
                <w:bCs/>
              </w:rPr>
              <w:t xml:space="preserve">2025 </w:t>
            </w:r>
            <w:r w:rsidRPr="00BE7E87">
              <w:rPr>
                <w:b/>
                <w:bCs/>
              </w:rPr>
              <w:t>Pay Quartile</w:t>
            </w:r>
          </w:p>
        </w:tc>
        <w:tc>
          <w:tcPr>
            <w:tcW w:w="971" w:type="dxa"/>
            <w:shd w:val="clear" w:color="auto" w:fill="BDD6EE" w:themeFill="accent1" w:themeFillTint="66"/>
            <w:vAlign w:val="center"/>
            <w:hideMark/>
          </w:tcPr>
          <w:p w14:paraId="776DFD49" w14:textId="6351E5B3" w:rsidR="00706294" w:rsidRPr="00BE7E87" w:rsidRDefault="00706294" w:rsidP="003C18BC">
            <w:pPr>
              <w:spacing w:line="278" w:lineRule="auto"/>
              <w:rPr>
                <w:b/>
                <w:bCs/>
              </w:rPr>
            </w:pPr>
            <w:r>
              <w:rPr>
                <w:b/>
                <w:bCs/>
              </w:rPr>
              <w:t xml:space="preserve">2025 Collyer’s </w:t>
            </w:r>
            <w:r w:rsidRPr="00BE7E87">
              <w:rPr>
                <w:b/>
                <w:bCs/>
              </w:rPr>
              <w:t>% Female</w:t>
            </w:r>
          </w:p>
        </w:tc>
        <w:tc>
          <w:tcPr>
            <w:tcW w:w="962" w:type="dxa"/>
            <w:shd w:val="clear" w:color="auto" w:fill="BDD6EE" w:themeFill="accent1" w:themeFillTint="66"/>
            <w:vAlign w:val="center"/>
            <w:hideMark/>
          </w:tcPr>
          <w:p w14:paraId="519AE230" w14:textId="5BC5F08C" w:rsidR="00706294" w:rsidRPr="00BE7E87" w:rsidRDefault="00706294" w:rsidP="003C18BC">
            <w:pPr>
              <w:spacing w:line="278" w:lineRule="auto"/>
              <w:rPr>
                <w:b/>
                <w:bCs/>
              </w:rPr>
            </w:pPr>
            <w:r>
              <w:rPr>
                <w:b/>
                <w:bCs/>
              </w:rPr>
              <w:t xml:space="preserve">2025 Collyer’s </w:t>
            </w:r>
            <w:r w:rsidRPr="00BE7E87">
              <w:rPr>
                <w:b/>
                <w:bCs/>
              </w:rPr>
              <w:t>% Male</w:t>
            </w:r>
          </w:p>
        </w:tc>
        <w:tc>
          <w:tcPr>
            <w:tcW w:w="962" w:type="dxa"/>
            <w:shd w:val="clear" w:color="auto" w:fill="AEAAAA" w:themeFill="background2" w:themeFillShade="BF"/>
            <w:vAlign w:val="center"/>
          </w:tcPr>
          <w:p w14:paraId="7C22872A" w14:textId="7152C85E" w:rsidR="00706294" w:rsidRPr="00BE7E87" w:rsidRDefault="00706294" w:rsidP="003C18BC">
            <w:pPr>
              <w:spacing w:line="278" w:lineRule="auto"/>
              <w:rPr>
                <w:b/>
                <w:bCs/>
              </w:rPr>
            </w:pPr>
            <w:r>
              <w:rPr>
                <w:b/>
                <w:bCs/>
              </w:rPr>
              <w:t xml:space="preserve">2024 Collyer’s </w:t>
            </w:r>
            <w:r w:rsidRPr="00BE7E87">
              <w:rPr>
                <w:b/>
                <w:bCs/>
              </w:rPr>
              <w:t>% Female</w:t>
            </w:r>
          </w:p>
        </w:tc>
        <w:tc>
          <w:tcPr>
            <w:tcW w:w="948" w:type="dxa"/>
            <w:shd w:val="clear" w:color="auto" w:fill="AEAAAA" w:themeFill="background2" w:themeFillShade="BF"/>
            <w:vAlign w:val="center"/>
          </w:tcPr>
          <w:p w14:paraId="53A8557C" w14:textId="1CA1297E" w:rsidR="00706294" w:rsidRPr="00BE7E87" w:rsidRDefault="00706294" w:rsidP="003C18BC">
            <w:pPr>
              <w:spacing w:line="278" w:lineRule="auto"/>
              <w:rPr>
                <w:b/>
                <w:bCs/>
              </w:rPr>
            </w:pPr>
            <w:r>
              <w:rPr>
                <w:b/>
                <w:bCs/>
              </w:rPr>
              <w:t xml:space="preserve">2024 Collyer’s </w:t>
            </w:r>
            <w:r w:rsidRPr="00BE7E87">
              <w:rPr>
                <w:b/>
                <w:bCs/>
              </w:rPr>
              <w:t>% Male</w:t>
            </w:r>
          </w:p>
        </w:tc>
      </w:tr>
      <w:tr w:rsidR="00706294" w:rsidRPr="00BE7E87" w14:paraId="0B7FC9A7" w14:textId="7EDAE868" w:rsidTr="00706294">
        <w:trPr>
          <w:tblCellSpacing w:w="15" w:type="dxa"/>
        </w:trPr>
        <w:tc>
          <w:tcPr>
            <w:tcW w:w="0" w:type="auto"/>
            <w:vAlign w:val="center"/>
            <w:hideMark/>
          </w:tcPr>
          <w:p w14:paraId="7642D1C5" w14:textId="77777777" w:rsidR="00706294" w:rsidRPr="00BE7E87" w:rsidRDefault="00706294" w:rsidP="003C18BC">
            <w:pPr>
              <w:spacing w:line="278" w:lineRule="auto"/>
            </w:pPr>
            <w:r w:rsidRPr="00BE7E87">
              <w:t>Lower Quartile</w:t>
            </w:r>
          </w:p>
        </w:tc>
        <w:tc>
          <w:tcPr>
            <w:tcW w:w="971" w:type="dxa"/>
            <w:vAlign w:val="center"/>
            <w:hideMark/>
          </w:tcPr>
          <w:p w14:paraId="7C766B1F" w14:textId="77777777" w:rsidR="00706294" w:rsidRPr="00BE7E87" w:rsidRDefault="00706294" w:rsidP="003C18BC">
            <w:pPr>
              <w:spacing w:line="278" w:lineRule="auto"/>
            </w:pPr>
            <w:r w:rsidRPr="00BE7E87">
              <w:t>81.36%</w:t>
            </w:r>
          </w:p>
        </w:tc>
        <w:tc>
          <w:tcPr>
            <w:tcW w:w="962" w:type="dxa"/>
            <w:vAlign w:val="center"/>
            <w:hideMark/>
          </w:tcPr>
          <w:p w14:paraId="65F88E81" w14:textId="77777777" w:rsidR="00706294" w:rsidRPr="00BE7E87" w:rsidRDefault="00706294" w:rsidP="003C18BC">
            <w:pPr>
              <w:spacing w:line="278" w:lineRule="auto"/>
            </w:pPr>
            <w:r w:rsidRPr="00BE7E87">
              <w:t>18.64%</w:t>
            </w:r>
          </w:p>
        </w:tc>
        <w:tc>
          <w:tcPr>
            <w:tcW w:w="962" w:type="dxa"/>
          </w:tcPr>
          <w:p w14:paraId="71BFCF62" w14:textId="319C4C58" w:rsidR="00706294" w:rsidRPr="00BE7E87" w:rsidRDefault="00276692" w:rsidP="003C18BC">
            <w:pPr>
              <w:spacing w:line="278" w:lineRule="auto"/>
            </w:pPr>
            <w:r>
              <w:t>72.41%</w:t>
            </w:r>
          </w:p>
        </w:tc>
        <w:tc>
          <w:tcPr>
            <w:tcW w:w="948" w:type="dxa"/>
          </w:tcPr>
          <w:p w14:paraId="6683DC0F" w14:textId="4D325DA0" w:rsidR="00706294" w:rsidRPr="00BE7E87" w:rsidRDefault="00276692" w:rsidP="003C18BC">
            <w:pPr>
              <w:spacing w:line="278" w:lineRule="auto"/>
            </w:pPr>
            <w:r>
              <w:t>27.59%</w:t>
            </w:r>
          </w:p>
        </w:tc>
      </w:tr>
      <w:tr w:rsidR="00706294" w:rsidRPr="00BE7E87" w14:paraId="71BFD800" w14:textId="200938E8" w:rsidTr="00706294">
        <w:trPr>
          <w:tblCellSpacing w:w="15" w:type="dxa"/>
        </w:trPr>
        <w:tc>
          <w:tcPr>
            <w:tcW w:w="0" w:type="auto"/>
            <w:vAlign w:val="center"/>
            <w:hideMark/>
          </w:tcPr>
          <w:p w14:paraId="4067B687" w14:textId="77777777" w:rsidR="00706294" w:rsidRPr="00BE7E87" w:rsidRDefault="00706294" w:rsidP="003C18BC">
            <w:pPr>
              <w:spacing w:line="278" w:lineRule="auto"/>
            </w:pPr>
            <w:r w:rsidRPr="00BE7E87">
              <w:t>Lower Middle Quartile</w:t>
            </w:r>
          </w:p>
        </w:tc>
        <w:tc>
          <w:tcPr>
            <w:tcW w:w="971" w:type="dxa"/>
            <w:vAlign w:val="center"/>
            <w:hideMark/>
          </w:tcPr>
          <w:p w14:paraId="65D22EFC" w14:textId="264038BB" w:rsidR="00706294" w:rsidRPr="00BE7E87" w:rsidRDefault="00706294" w:rsidP="003C18BC">
            <w:pPr>
              <w:spacing w:line="278" w:lineRule="auto"/>
            </w:pPr>
            <w:r>
              <w:t>79.66</w:t>
            </w:r>
            <w:r w:rsidRPr="00BE7E87">
              <w:t>%</w:t>
            </w:r>
          </w:p>
        </w:tc>
        <w:tc>
          <w:tcPr>
            <w:tcW w:w="962" w:type="dxa"/>
            <w:vAlign w:val="center"/>
            <w:hideMark/>
          </w:tcPr>
          <w:p w14:paraId="4B61607F" w14:textId="50256B41" w:rsidR="00706294" w:rsidRPr="00BE7E87" w:rsidRDefault="00706294" w:rsidP="003C18BC">
            <w:pPr>
              <w:spacing w:line="278" w:lineRule="auto"/>
            </w:pPr>
            <w:r>
              <w:t>20.34</w:t>
            </w:r>
            <w:r w:rsidRPr="00BE7E87">
              <w:t>%</w:t>
            </w:r>
          </w:p>
        </w:tc>
        <w:tc>
          <w:tcPr>
            <w:tcW w:w="962" w:type="dxa"/>
          </w:tcPr>
          <w:p w14:paraId="21C1F3DF" w14:textId="78AF2141" w:rsidR="00706294" w:rsidRDefault="008A0CA7" w:rsidP="003C18BC">
            <w:pPr>
              <w:spacing w:line="278" w:lineRule="auto"/>
            </w:pPr>
            <w:r>
              <w:t>79.31%</w:t>
            </w:r>
          </w:p>
        </w:tc>
        <w:tc>
          <w:tcPr>
            <w:tcW w:w="948" w:type="dxa"/>
          </w:tcPr>
          <w:p w14:paraId="28B58782" w14:textId="71540B00" w:rsidR="00706294" w:rsidRDefault="008A0CA7" w:rsidP="003C18BC">
            <w:pPr>
              <w:spacing w:line="278" w:lineRule="auto"/>
            </w:pPr>
            <w:r>
              <w:t>20.69%</w:t>
            </w:r>
          </w:p>
        </w:tc>
      </w:tr>
      <w:tr w:rsidR="00706294" w:rsidRPr="00BE7E87" w14:paraId="6DE4986E" w14:textId="3DE1A3F3" w:rsidTr="00706294">
        <w:trPr>
          <w:tblCellSpacing w:w="15" w:type="dxa"/>
        </w:trPr>
        <w:tc>
          <w:tcPr>
            <w:tcW w:w="0" w:type="auto"/>
            <w:vAlign w:val="center"/>
            <w:hideMark/>
          </w:tcPr>
          <w:p w14:paraId="67CE7F78" w14:textId="77777777" w:rsidR="00706294" w:rsidRPr="00BE7E87" w:rsidRDefault="00706294" w:rsidP="003C18BC">
            <w:pPr>
              <w:spacing w:line="278" w:lineRule="auto"/>
            </w:pPr>
            <w:r w:rsidRPr="00BE7E87">
              <w:t>Upper Middle Quartile</w:t>
            </w:r>
          </w:p>
        </w:tc>
        <w:tc>
          <w:tcPr>
            <w:tcW w:w="971" w:type="dxa"/>
            <w:vAlign w:val="center"/>
            <w:hideMark/>
          </w:tcPr>
          <w:p w14:paraId="77FD0804" w14:textId="6733CAD8" w:rsidR="00706294" w:rsidRPr="00BE7E87" w:rsidRDefault="00706294" w:rsidP="003C18BC">
            <w:pPr>
              <w:spacing w:line="278" w:lineRule="auto"/>
            </w:pPr>
            <w:r>
              <w:t>52.54</w:t>
            </w:r>
            <w:r w:rsidRPr="00BE7E87">
              <w:t>%</w:t>
            </w:r>
          </w:p>
        </w:tc>
        <w:tc>
          <w:tcPr>
            <w:tcW w:w="962" w:type="dxa"/>
            <w:vAlign w:val="center"/>
            <w:hideMark/>
          </w:tcPr>
          <w:p w14:paraId="41297119" w14:textId="57DF61DC" w:rsidR="00706294" w:rsidRPr="00BE7E87" w:rsidRDefault="00706294" w:rsidP="003C18BC">
            <w:pPr>
              <w:spacing w:line="278" w:lineRule="auto"/>
            </w:pPr>
            <w:r>
              <w:t>47.46</w:t>
            </w:r>
            <w:r w:rsidRPr="00BE7E87">
              <w:t>%</w:t>
            </w:r>
          </w:p>
        </w:tc>
        <w:tc>
          <w:tcPr>
            <w:tcW w:w="962" w:type="dxa"/>
          </w:tcPr>
          <w:p w14:paraId="3F9F666C" w14:textId="221B4B60" w:rsidR="00706294" w:rsidRDefault="008A0CA7" w:rsidP="003C18BC">
            <w:pPr>
              <w:spacing w:line="278" w:lineRule="auto"/>
            </w:pPr>
            <w:r>
              <w:t>56.90%</w:t>
            </w:r>
          </w:p>
        </w:tc>
        <w:tc>
          <w:tcPr>
            <w:tcW w:w="948" w:type="dxa"/>
          </w:tcPr>
          <w:p w14:paraId="61291CFE" w14:textId="77C56DBD" w:rsidR="00706294" w:rsidRDefault="00EE75F9" w:rsidP="003C18BC">
            <w:pPr>
              <w:spacing w:line="278" w:lineRule="auto"/>
            </w:pPr>
            <w:r>
              <w:t>43.10%</w:t>
            </w:r>
          </w:p>
        </w:tc>
      </w:tr>
      <w:tr w:rsidR="00706294" w:rsidRPr="00BE7E87" w14:paraId="5DB9FD9A" w14:textId="7A405196" w:rsidTr="00706294">
        <w:trPr>
          <w:tblCellSpacing w:w="15" w:type="dxa"/>
        </w:trPr>
        <w:tc>
          <w:tcPr>
            <w:tcW w:w="0" w:type="auto"/>
            <w:vAlign w:val="center"/>
            <w:hideMark/>
          </w:tcPr>
          <w:p w14:paraId="75B8B7AF" w14:textId="77777777" w:rsidR="00706294" w:rsidRPr="00BE7E87" w:rsidRDefault="00706294" w:rsidP="003C18BC">
            <w:pPr>
              <w:spacing w:line="278" w:lineRule="auto"/>
            </w:pPr>
            <w:r w:rsidRPr="00BE7E87">
              <w:t>Upper Quartile</w:t>
            </w:r>
          </w:p>
        </w:tc>
        <w:tc>
          <w:tcPr>
            <w:tcW w:w="971" w:type="dxa"/>
            <w:vAlign w:val="center"/>
            <w:hideMark/>
          </w:tcPr>
          <w:p w14:paraId="4A6B9B00" w14:textId="77777777" w:rsidR="00706294" w:rsidRPr="00BE7E87" w:rsidRDefault="00706294" w:rsidP="003C18BC">
            <w:pPr>
              <w:spacing w:line="278" w:lineRule="auto"/>
            </w:pPr>
            <w:r w:rsidRPr="00BE7E87">
              <w:t>54.24%</w:t>
            </w:r>
          </w:p>
        </w:tc>
        <w:tc>
          <w:tcPr>
            <w:tcW w:w="962" w:type="dxa"/>
            <w:vAlign w:val="center"/>
            <w:hideMark/>
          </w:tcPr>
          <w:p w14:paraId="1D263488" w14:textId="77777777" w:rsidR="00706294" w:rsidRPr="00BE7E87" w:rsidRDefault="00706294" w:rsidP="003C18BC">
            <w:pPr>
              <w:spacing w:line="278" w:lineRule="auto"/>
            </w:pPr>
            <w:r w:rsidRPr="00BE7E87">
              <w:t>45.76%</w:t>
            </w:r>
          </w:p>
        </w:tc>
        <w:tc>
          <w:tcPr>
            <w:tcW w:w="962" w:type="dxa"/>
          </w:tcPr>
          <w:p w14:paraId="3AAB4BDD" w14:textId="112EA6C3" w:rsidR="00706294" w:rsidRPr="00BE7E87" w:rsidRDefault="00EE75F9" w:rsidP="003C18BC">
            <w:pPr>
              <w:spacing w:line="278" w:lineRule="auto"/>
            </w:pPr>
            <w:r>
              <w:t>45.76%</w:t>
            </w:r>
          </w:p>
        </w:tc>
        <w:tc>
          <w:tcPr>
            <w:tcW w:w="948" w:type="dxa"/>
          </w:tcPr>
          <w:p w14:paraId="588A2750" w14:textId="66EED72F" w:rsidR="00706294" w:rsidRPr="00BE7E87" w:rsidRDefault="00EE75F9" w:rsidP="003C18BC">
            <w:pPr>
              <w:spacing w:line="278" w:lineRule="auto"/>
            </w:pPr>
            <w:r>
              <w:t>54.24%</w:t>
            </w:r>
          </w:p>
        </w:tc>
      </w:tr>
    </w:tbl>
    <w:p w14:paraId="794F18E4" w14:textId="77777777" w:rsidR="00EE115D" w:rsidRDefault="00EE115D" w:rsidP="00EE115D">
      <w:pPr>
        <w:pStyle w:val="NoSpacing"/>
      </w:pPr>
    </w:p>
    <w:p w14:paraId="27C87DCE" w14:textId="0151E310" w:rsidR="00250559" w:rsidRDefault="00250559" w:rsidP="00C643CE">
      <w:pPr>
        <w:spacing w:line="278" w:lineRule="auto"/>
        <w:jc w:val="both"/>
      </w:pPr>
      <w:r w:rsidRPr="00BE7E87">
        <w:t>These figures show that women are disproportionately represented in the lower-paid quartiles</w:t>
      </w:r>
      <w:r w:rsidR="00B75056">
        <w:t>.</w:t>
      </w:r>
      <w:r w:rsidR="00756CB0">
        <w:t xml:space="preserve"> This</w:t>
      </w:r>
      <w:r w:rsidRPr="00BE7E87">
        <w:t xml:space="preserve"> has a significant impact on the overall gender pay gap.</w:t>
      </w:r>
      <w:r w:rsidR="00756CB0">
        <w:t xml:space="preserve"> The upper quartiles are </w:t>
      </w:r>
      <w:r w:rsidR="00B8772E">
        <w:t>more balanced.</w:t>
      </w:r>
      <w:r w:rsidR="002F56BD">
        <w:t xml:space="preserve"> Below shows a comparison of Collyer’s results </w:t>
      </w:r>
      <w:r w:rsidR="00A527FA">
        <w:t>with the national statistics.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3"/>
        <w:gridCol w:w="1001"/>
        <w:gridCol w:w="992"/>
        <w:gridCol w:w="1276"/>
        <w:gridCol w:w="1276"/>
      </w:tblGrid>
      <w:tr w:rsidR="00A527FA" w:rsidRPr="00BE7E87" w14:paraId="19985A9B" w14:textId="77777777" w:rsidTr="00827E7D">
        <w:trPr>
          <w:trHeight w:val="478"/>
          <w:tblHeader/>
          <w:tblCellSpacing w:w="15" w:type="dxa"/>
        </w:trPr>
        <w:tc>
          <w:tcPr>
            <w:tcW w:w="0" w:type="auto"/>
            <w:shd w:val="clear" w:color="auto" w:fill="BDD6EE" w:themeFill="accent1" w:themeFillTint="66"/>
            <w:vAlign w:val="center"/>
            <w:hideMark/>
          </w:tcPr>
          <w:p w14:paraId="182778E6" w14:textId="77777777" w:rsidR="00A527FA" w:rsidRPr="00BE7E87" w:rsidRDefault="00A527FA" w:rsidP="0061445F">
            <w:pPr>
              <w:spacing w:line="278" w:lineRule="auto"/>
              <w:rPr>
                <w:b/>
                <w:bCs/>
              </w:rPr>
            </w:pPr>
            <w:r>
              <w:rPr>
                <w:b/>
                <w:bCs/>
              </w:rPr>
              <w:t xml:space="preserve">2025 </w:t>
            </w:r>
            <w:r w:rsidRPr="00BE7E87">
              <w:rPr>
                <w:b/>
                <w:bCs/>
              </w:rPr>
              <w:t>Pay Quartile</w:t>
            </w:r>
          </w:p>
        </w:tc>
        <w:tc>
          <w:tcPr>
            <w:tcW w:w="971" w:type="dxa"/>
            <w:shd w:val="clear" w:color="auto" w:fill="BDD6EE" w:themeFill="accent1" w:themeFillTint="66"/>
            <w:vAlign w:val="center"/>
            <w:hideMark/>
          </w:tcPr>
          <w:p w14:paraId="3D55C0DC" w14:textId="77777777" w:rsidR="00A527FA" w:rsidRPr="00BE7E87" w:rsidRDefault="00A527FA" w:rsidP="0061445F">
            <w:pPr>
              <w:spacing w:line="278" w:lineRule="auto"/>
              <w:rPr>
                <w:b/>
                <w:bCs/>
              </w:rPr>
            </w:pPr>
            <w:r>
              <w:rPr>
                <w:b/>
                <w:bCs/>
              </w:rPr>
              <w:t xml:space="preserve">2025 Collyer’s </w:t>
            </w:r>
            <w:r w:rsidRPr="00BE7E87">
              <w:rPr>
                <w:b/>
                <w:bCs/>
              </w:rPr>
              <w:t>% Female</w:t>
            </w:r>
          </w:p>
        </w:tc>
        <w:tc>
          <w:tcPr>
            <w:tcW w:w="962" w:type="dxa"/>
            <w:shd w:val="clear" w:color="auto" w:fill="BDD6EE" w:themeFill="accent1" w:themeFillTint="66"/>
            <w:vAlign w:val="center"/>
            <w:hideMark/>
          </w:tcPr>
          <w:p w14:paraId="1DD47F55" w14:textId="77777777" w:rsidR="00A527FA" w:rsidRPr="00BE7E87" w:rsidRDefault="00A527FA" w:rsidP="0061445F">
            <w:pPr>
              <w:spacing w:line="278" w:lineRule="auto"/>
              <w:rPr>
                <w:b/>
                <w:bCs/>
              </w:rPr>
            </w:pPr>
            <w:r>
              <w:rPr>
                <w:b/>
                <w:bCs/>
              </w:rPr>
              <w:t xml:space="preserve">2025 Collyer’s </w:t>
            </w:r>
            <w:r w:rsidRPr="00BE7E87">
              <w:rPr>
                <w:b/>
                <w:bCs/>
              </w:rPr>
              <w:t>% Male</w:t>
            </w:r>
          </w:p>
        </w:tc>
        <w:tc>
          <w:tcPr>
            <w:tcW w:w="1246" w:type="dxa"/>
            <w:shd w:val="clear" w:color="auto" w:fill="AEAAAA" w:themeFill="background2" w:themeFillShade="BF"/>
            <w:vAlign w:val="center"/>
          </w:tcPr>
          <w:p w14:paraId="7C259753" w14:textId="293F4753" w:rsidR="00A527FA" w:rsidRPr="00BE7E87" w:rsidRDefault="0019198F" w:rsidP="0061445F">
            <w:pPr>
              <w:spacing w:line="278" w:lineRule="auto"/>
              <w:rPr>
                <w:b/>
                <w:bCs/>
              </w:rPr>
            </w:pPr>
            <w:r>
              <w:rPr>
                <w:b/>
                <w:bCs/>
              </w:rPr>
              <w:t>National Statistics</w:t>
            </w:r>
            <w:r w:rsidR="00827E7D">
              <w:rPr>
                <w:b/>
                <w:bCs/>
              </w:rPr>
              <w:t xml:space="preserve"> for Education</w:t>
            </w:r>
          </w:p>
        </w:tc>
        <w:tc>
          <w:tcPr>
            <w:tcW w:w="1231" w:type="dxa"/>
            <w:shd w:val="clear" w:color="auto" w:fill="AEAAAA" w:themeFill="background2" w:themeFillShade="BF"/>
            <w:vAlign w:val="center"/>
          </w:tcPr>
          <w:p w14:paraId="492B34E0" w14:textId="2458195E" w:rsidR="00A527FA" w:rsidRPr="00BE7E87" w:rsidRDefault="0019198F" w:rsidP="0061445F">
            <w:pPr>
              <w:spacing w:line="278" w:lineRule="auto"/>
              <w:rPr>
                <w:b/>
                <w:bCs/>
              </w:rPr>
            </w:pPr>
            <w:r>
              <w:rPr>
                <w:b/>
                <w:bCs/>
              </w:rPr>
              <w:t>National Statistics</w:t>
            </w:r>
            <w:r w:rsidR="00827E7D">
              <w:rPr>
                <w:b/>
                <w:bCs/>
              </w:rPr>
              <w:t xml:space="preserve"> for Education</w:t>
            </w:r>
          </w:p>
        </w:tc>
      </w:tr>
      <w:tr w:rsidR="00A527FA" w:rsidRPr="00BE7E87" w14:paraId="7BF48C17" w14:textId="77777777" w:rsidTr="00827E7D">
        <w:trPr>
          <w:tblCellSpacing w:w="15" w:type="dxa"/>
        </w:trPr>
        <w:tc>
          <w:tcPr>
            <w:tcW w:w="0" w:type="auto"/>
            <w:vAlign w:val="center"/>
            <w:hideMark/>
          </w:tcPr>
          <w:p w14:paraId="04D8AF00" w14:textId="77777777" w:rsidR="00A527FA" w:rsidRPr="00BE7E87" w:rsidRDefault="00A527FA" w:rsidP="0061445F">
            <w:pPr>
              <w:spacing w:line="278" w:lineRule="auto"/>
            </w:pPr>
            <w:r w:rsidRPr="00BE7E87">
              <w:t>Lower Quartile</w:t>
            </w:r>
          </w:p>
        </w:tc>
        <w:tc>
          <w:tcPr>
            <w:tcW w:w="971" w:type="dxa"/>
            <w:vAlign w:val="center"/>
            <w:hideMark/>
          </w:tcPr>
          <w:p w14:paraId="07BE3971" w14:textId="77777777" w:rsidR="00A527FA" w:rsidRPr="00BE7E87" w:rsidRDefault="00A527FA" w:rsidP="0061445F">
            <w:pPr>
              <w:spacing w:line="278" w:lineRule="auto"/>
            </w:pPr>
            <w:r w:rsidRPr="00BE7E87">
              <w:t>81.36%</w:t>
            </w:r>
          </w:p>
        </w:tc>
        <w:tc>
          <w:tcPr>
            <w:tcW w:w="962" w:type="dxa"/>
            <w:vAlign w:val="center"/>
            <w:hideMark/>
          </w:tcPr>
          <w:p w14:paraId="27AE5E7F" w14:textId="77777777" w:rsidR="00A527FA" w:rsidRPr="00BE7E87" w:rsidRDefault="00A527FA" w:rsidP="0061445F">
            <w:pPr>
              <w:spacing w:line="278" w:lineRule="auto"/>
            </w:pPr>
            <w:r w:rsidRPr="00BE7E87">
              <w:t>18.64%</w:t>
            </w:r>
          </w:p>
        </w:tc>
        <w:tc>
          <w:tcPr>
            <w:tcW w:w="1246" w:type="dxa"/>
          </w:tcPr>
          <w:p w14:paraId="676BFBAF" w14:textId="5360B843" w:rsidR="00A527FA" w:rsidRPr="00BE7E87" w:rsidRDefault="003A4C62" w:rsidP="0061445F">
            <w:pPr>
              <w:spacing w:line="278" w:lineRule="auto"/>
            </w:pPr>
            <w:r>
              <w:t>63.2</w:t>
            </w:r>
            <w:r w:rsidR="00A527FA">
              <w:t>%</w:t>
            </w:r>
          </w:p>
        </w:tc>
        <w:tc>
          <w:tcPr>
            <w:tcW w:w="1231" w:type="dxa"/>
          </w:tcPr>
          <w:p w14:paraId="34A368B4" w14:textId="190FCBA0" w:rsidR="00A527FA" w:rsidRPr="00BE7E87" w:rsidRDefault="003A4C62" w:rsidP="0061445F">
            <w:pPr>
              <w:spacing w:line="278" w:lineRule="auto"/>
            </w:pPr>
            <w:r>
              <w:t>36.8</w:t>
            </w:r>
            <w:r w:rsidR="00A527FA">
              <w:t>%</w:t>
            </w:r>
          </w:p>
        </w:tc>
      </w:tr>
      <w:tr w:rsidR="00A527FA" w14:paraId="136F91C1" w14:textId="77777777" w:rsidTr="00827E7D">
        <w:trPr>
          <w:tblCellSpacing w:w="15" w:type="dxa"/>
        </w:trPr>
        <w:tc>
          <w:tcPr>
            <w:tcW w:w="0" w:type="auto"/>
            <w:vAlign w:val="center"/>
            <w:hideMark/>
          </w:tcPr>
          <w:p w14:paraId="6FAF523A" w14:textId="77777777" w:rsidR="00A527FA" w:rsidRPr="00BE7E87" w:rsidRDefault="00A527FA" w:rsidP="0061445F">
            <w:pPr>
              <w:spacing w:line="278" w:lineRule="auto"/>
            </w:pPr>
            <w:r w:rsidRPr="00BE7E87">
              <w:t>Lower Middle Quartile</w:t>
            </w:r>
          </w:p>
        </w:tc>
        <w:tc>
          <w:tcPr>
            <w:tcW w:w="971" w:type="dxa"/>
            <w:vAlign w:val="center"/>
            <w:hideMark/>
          </w:tcPr>
          <w:p w14:paraId="33F26F49" w14:textId="77777777" w:rsidR="00A527FA" w:rsidRPr="00BE7E87" w:rsidRDefault="00A527FA" w:rsidP="0061445F">
            <w:pPr>
              <w:spacing w:line="278" w:lineRule="auto"/>
            </w:pPr>
            <w:r>
              <w:t>79.66</w:t>
            </w:r>
            <w:r w:rsidRPr="00BE7E87">
              <w:t>%</w:t>
            </w:r>
          </w:p>
        </w:tc>
        <w:tc>
          <w:tcPr>
            <w:tcW w:w="962" w:type="dxa"/>
            <w:vAlign w:val="center"/>
            <w:hideMark/>
          </w:tcPr>
          <w:p w14:paraId="76A412DE" w14:textId="77777777" w:rsidR="00A527FA" w:rsidRPr="00BE7E87" w:rsidRDefault="00A527FA" w:rsidP="0061445F">
            <w:pPr>
              <w:spacing w:line="278" w:lineRule="auto"/>
            </w:pPr>
            <w:r>
              <w:t>20.34</w:t>
            </w:r>
            <w:r w:rsidRPr="00BE7E87">
              <w:t>%</w:t>
            </w:r>
          </w:p>
        </w:tc>
        <w:tc>
          <w:tcPr>
            <w:tcW w:w="1246" w:type="dxa"/>
          </w:tcPr>
          <w:p w14:paraId="0F74B634" w14:textId="7A73C998" w:rsidR="00A527FA" w:rsidRDefault="00392E9B" w:rsidP="0061445F">
            <w:pPr>
              <w:spacing w:line="278" w:lineRule="auto"/>
            </w:pPr>
            <w:r>
              <w:t>62.3</w:t>
            </w:r>
            <w:r w:rsidR="00A527FA">
              <w:t>%</w:t>
            </w:r>
          </w:p>
        </w:tc>
        <w:tc>
          <w:tcPr>
            <w:tcW w:w="1231" w:type="dxa"/>
          </w:tcPr>
          <w:p w14:paraId="0B7E9D92" w14:textId="07856194" w:rsidR="00A527FA" w:rsidRDefault="00392E9B" w:rsidP="0061445F">
            <w:pPr>
              <w:spacing w:line="278" w:lineRule="auto"/>
            </w:pPr>
            <w:r>
              <w:t>37.7</w:t>
            </w:r>
            <w:r w:rsidR="00A527FA">
              <w:t>%</w:t>
            </w:r>
          </w:p>
        </w:tc>
      </w:tr>
      <w:tr w:rsidR="00A527FA" w14:paraId="39D53BC7" w14:textId="77777777" w:rsidTr="00827E7D">
        <w:trPr>
          <w:tblCellSpacing w:w="15" w:type="dxa"/>
        </w:trPr>
        <w:tc>
          <w:tcPr>
            <w:tcW w:w="0" w:type="auto"/>
            <w:vAlign w:val="center"/>
            <w:hideMark/>
          </w:tcPr>
          <w:p w14:paraId="3A3756EE" w14:textId="77777777" w:rsidR="00A527FA" w:rsidRPr="00BE7E87" w:rsidRDefault="00A527FA" w:rsidP="0061445F">
            <w:pPr>
              <w:spacing w:line="278" w:lineRule="auto"/>
            </w:pPr>
            <w:r w:rsidRPr="00BE7E87">
              <w:t>Upper Middle Quartile</w:t>
            </w:r>
          </w:p>
        </w:tc>
        <w:tc>
          <w:tcPr>
            <w:tcW w:w="971" w:type="dxa"/>
            <w:vAlign w:val="center"/>
            <w:hideMark/>
          </w:tcPr>
          <w:p w14:paraId="780EBCAD" w14:textId="77777777" w:rsidR="00A527FA" w:rsidRPr="00BE7E87" w:rsidRDefault="00A527FA" w:rsidP="0061445F">
            <w:pPr>
              <w:spacing w:line="278" w:lineRule="auto"/>
            </w:pPr>
            <w:r>
              <w:t>52.54</w:t>
            </w:r>
            <w:r w:rsidRPr="00BE7E87">
              <w:t>%</w:t>
            </w:r>
          </w:p>
        </w:tc>
        <w:tc>
          <w:tcPr>
            <w:tcW w:w="962" w:type="dxa"/>
            <w:vAlign w:val="center"/>
            <w:hideMark/>
          </w:tcPr>
          <w:p w14:paraId="68693F58" w14:textId="77777777" w:rsidR="00A527FA" w:rsidRPr="00BE7E87" w:rsidRDefault="00A527FA" w:rsidP="0061445F">
            <w:pPr>
              <w:spacing w:line="278" w:lineRule="auto"/>
            </w:pPr>
            <w:r>
              <w:t>47.46</w:t>
            </w:r>
            <w:r w:rsidRPr="00BE7E87">
              <w:t>%</w:t>
            </w:r>
          </w:p>
        </w:tc>
        <w:tc>
          <w:tcPr>
            <w:tcW w:w="1246" w:type="dxa"/>
          </w:tcPr>
          <w:p w14:paraId="28AFEE9C" w14:textId="7D0F9F50" w:rsidR="00A527FA" w:rsidRDefault="00A50F65" w:rsidP="0061445F">
            <w:pPr>
              <w:spacing w:line="278" w:lineRule="auto"/>
            </w:pPr>
            <w:r>
              <w:t>58.4</w:t>
            </w:r>
            <w:r w:rsidR="00A527FA">
              <w:t>%</w:t>
            </w:r>
          </w:p>
        </w:tc>
        <w:tc>
          <w:tcPr>
            <w:tcW w:w="1231" w:type="dxa"/>
          </w:tcPr>
          <w:p w14:paraId="00618FC5" w14:textId="318C3F34" w:rsidR="00A527FA" w:rsidRDefault="00392E9B" w:rsidP="0061445F">
            <w:pPr>
              <w:spacing w:line="278" w:lineRule="auto"/>
            </w:pPr>
            <w:r>
              <w:t>41.6</w:t>
            </w:r>
            <w:r w:rsidR="00A527FA">
              <w:t>%</w:t>
            </w:r>
          </w:p>
        </w:tc>
      </w:tr>
      <w:tr w:rsidR="00A527FA" w:rsidRPr="00BE7E87" w14:paraId="1ACB6C9B" w14:textId="77777777" w:rsidTr="00827E7D">
        <w:trPr>
          <w:tblCellSpacing w:w="15" w:type="dxa"/>
        </w:trPr>
        <w:tc>
          <w:tcPr>
            <w:tcW w:w="0" w:type="auto"/>
            <w:vAlign w:val="center"/>
            <w:hideMark/>
          </w:tcPr>
          <w:p w14:paraId="44631883" w14:textId="77777777" w:rsidR="00A527FA" w:rsidRPr="00BE7E87" w:rsidRDefault="00A527FA" w:rsidP="0061445F">
            <w:pPr>
              <w:spacing w:line="278" w:lineRule="auto"/>
            </w:pPr>
            <w:r w:rsidRPr="00BE7E87">
              <w:t>Upper Quartile</w:t>
            </w:r>
          </w:p>
        </w:tc>
        <w:tc>
          <w:tcPr>
            <w:tcW w:w="971" w:type="dxa"/>
            <w:vAlign w:val="center"/>
            <w:hideMark/>
          </w:tcPr>
          <w:p w14:paraId="28B02BF0" w14:textId="77777777" w:rsidR="00A527FA" w:rsidRPr="00BE7E87" w:rsidRDefault="00A527FA" w:rsidP="0061445F">
            <w:pPr>
              <w:spacing w:line="278" w:lineRule="auto"/>
            </w:pPr>
            <w:r w:rsidRPr="00BE7E87">
              <w:t>54.24%</w:t>
            </w:r>
          </w:p>
        </w:tc>
        <w:tc>
          <w:tcPr>
            <w:tcW w:w="962" w:type="dxa"/>
            <w:vAlign w:val="center"/>
            <w:hideMark/>
          </w:tcPr>
          <w:p w14:paraId="09926192" w14:textId="77777777" w:rsidR="00A527FA" w:rsidRPr="00BE7E87" w:rsidRDefault="00A527FA" w:rsidP="0061445F">
            <w:pPr>
              <w:spacing w:line="278" w:lineRule="auto"/>
            </w:pPr>
            <w:r w:rsidRPr="00BE7E87">
              <w:t>45.76%</w:t>
            </w:r>
          </w:p>
        </w:tc>
        <w:tc>
          <w:tcPr>
            <w:tcW w:w="1246" w:type="dxa"/>
          </w:tcPr>
          <w:p w14:paraId="4FB5C72D" w14:textId="0C56C983" w:rsidR="00A527FA" w:rsidRPr="00BE7E87" w:rsidRDefault="00A50F65" w:rsidP="0061445F">
            <w:pPr>
              <w:spacing w:line="278" w:lineRule="auto"/>
            </w:pPr>
            <w:r>
              <w:t>54.7</w:t>
            </w:r>
            <w:r w:rsidR="00A527FA">
              <w:t>%</w:t>
            </w:r>
          </w:p>
        </w:tc>
        <w:tc>
          <w:tcPr>
            <w:tcW w:w="1231" w:type="dxa"/>
          </w:tcPr>
          <w:p w14:paraId="0BA6D87A" w14:textId="48B03FE2" w:rsidR="00A527FA" w:rsidRPr="00BE7E87" w:rsidRDefault="00A50F65" w:rsidP="0061445F">
            <w:pPr>
              <w:spacing w:line="278" w:lineRule="auto"/>
            </w:pPr>
            <w:r>
              <w:t>45.3</w:t>
            </w:r>
            <w:r w:rsidR="00A527FA">
              <w:t>%</w:t>
            </w:r>
          </w:p>
        </w:tc>
      </w:tr>
    </w:tbl>
    <w:p w14:paraId="0512DC41" w14:textId="77777777" w:rsidR="00A527FA" w:rsidRPr="00BE7E87" w:rsidRDefault="00A527FA" w:rsidP="00C643CE">
      <w:pPr>
        <w:spacing w:line="278" w:lineRule="auto"/>
        <w:jc w:val="both"/>
      </w:pPr>
    </w:p>
    <w:p w14:paraId="518F0D5E" w14:textId="77777777" w:rsidR="00250559" w:rsidRPr="00BE7E87" w:rsidRDefault="00250559" w:rsidP="00250559">
      <w:pPr>
        <w:spacing w:line="278" w:lineRule="auto"/>
        <w:rPr>
          <w:b/>
          <w:bCs/>
        </w:rPr>
      </w:pPr>
      <w:r w:rsidRPr="00BE7E87">
        <w:rPr>
          <w:b/>
          <w:bCs/>
        </w:rPr>
        <w:t>Pay Differences Within Quartiles</w:t>
      </w:r>
    </w:p>
    <w:p w14:paraId="7800BE90" w14:textId="77777777" w:rsidR="00250559" w:rsidRPr="00BE7E87" w:rsidRDefault="00250559" w:rsidP="00C643CE">
      <w:pPr>
        <w:spacing w:line="278" w:lineRule="auto"/>
        <w:jc w:val="both"/>
      </w:pPr>
      <w:r w:rsidRPr="00BE7E87">
        <w:t>The following table shows the gender pay gap calculated within each pay quartile. Negative figures indicate that women earn slightly more than men within that quartile.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3"/>
        <w:gridCol w:w="1568"/>
        <w:gridCol w:w="1701"/>
      </w:tblGrid>
      <w:tr w:rsidR="00250559" w:rsidRPr="00BE7E87" w14:paraId="047B2E4E" w14:textId="77777777" w:rsidTr="00B3075B">
        <w:trPr>
          <w:tblHeader/>
          <w:tblCellSpacing w:w="15" w:type="dxa"/>
        </w:trPr>
        <w:tc>
          <w:tcPr>
            <w:tcW w:w="0" w:type="auto"/>
            <w:shd w:val="clear" w:color="auto" w:fill="BDD6EE" w:themeFill="accent1" w:themeFillTint="66"/>
            <w:vAlign w:val="center"/>
            <w:hideMark/>
          </w:tcPr>
          <w:p w14:paraId="4F9B9E56" w14:textId="77777777" w:rsidR="00250559" w:rsidRPr="00BE7E87" w:rsidRDefault="00250559" w:rsidP="00A17787">
            <w:pPr>
              <w:spacing w:line="278" w:lineRule="auto"/>
              <w:rPr>
                <w:b/>
                <w:bCs/>
              </w:rPr>
            </w:pPr>
            <w:r w:rsidRPr="00BE7E87">
              <w:rPr>
                <w:b/>
                <w:bCs/>
              </w:rPr>
              <w:t>Pay Quartile</w:t>
            </w:r>
          </w:p>
        </w:tc>
        <w:tc>
          <w:tcPr>
            <w:tcW w:w="1538" w:type="dxa"/>
            <w:shd w:val="clear" w:color="auto" w:fill="BDD6EE" w:themeFill="accent1" w:themeFillTint="66"/>
            <w:vAlign w:val="center"/>
            <w:hideMark/>
          </w:tcPr>
          <w:p w14:paraId="2016252E" w14:textId="77777777" w:rsidR="00250559" w:rsidRPr="00BE7E87" w:rsidRDefault="00250559" w:rsidP="00A17787">
            <w:pPr>
              <w:spacing w:line="278" w:lineRule="auto"/>
              <w:rPr>
                <w:b/>
                <w:bCs/>
              </w:rPr>
            </w:pPr>
            <w:r w:rsidRPr="00BE7E87">
              <w:rPr>
                <w:b/>
                <w:bCs/>
              </w:rPr>
              <w:t>Mean Pay Gap</w:t>
            </w:r>
          </w:p>
        </w:tc>
        <w:tc>
          <w:tcPr>
            <w:tcW w:w="1656" w:type="dxa"/>
            <w:shd w:val="clear" w:color="auto" w:fill="BDD6EE" w:themeFill="accent1" w:themeFillTint="66"/>
            <w:vAlign w:val="center"/>
            <w:hideMark/>
          </w:tcPr>
          <w:p w14:paraId="0C9D2AAF" w14:textId="77777777" w:rsidR="00250559" w:rsidRPr="00BE7E87" w:rsidRDefault="00250559" w:rsidP="00A17787">
            <w:pPr>
              <w:spacing w:line="278" w:lineRule="auto"/>
              <w:rPr>
                <w:b/>
                <w:bCs/>
              </w:rPr>
            </w:pPr>
            <w:r w:rsidRPr="00BE7E87">
              <w:rPr>
                <w:b/>
                <w:bCs/>
              </w:rPr>
              <w:t>Median Pay Gap</w:t>
            </w:r>
          </w:p>
        </w:tc>
      </w:tr>
      <w:tr w:rsidR="00250559" w:rsidRPr="00BE7E87" w14:paraId="36AB899F" w14:textId="77777777" w:rsidTr="002F6F9F">
        <w:trPr>
          <w:tblCellSpacing w:w="15" w:type="dxa"/>
        </w:trPr>
        <w:tc>
          <w:tcPr>
            <w:tcW w:w="0" w:type="auto"/>
            <w:vAlign w:val="center"/>
            <w:hideMark/>
          </w:tcPr>
          <w:p w14:paraId="04AC18B1" w14:textId="77777777" w:rsidR="00250559" w:rsidRPr="00BE7E87" w:rsidRDefault="00250559" w:rsidP="00A17787">
            <w:pPr>
              <w:spacing w:line="278" w:lineRule="auto"/>
            </w:pPr>
            <w:r w:rsidRPr="00BE7E87">
              <w:t>Lower Quartile</w:t>
            </w:r>
          </w:p>
        </w:tc>
        <w:tc>
          <w:tcPr>
            <w:tcW w:w="1538" w:type="dxa"/>
            <w:vAlign w:val="center"/>
            <w:hideMark/>
          </w:tcPr>
          <w:p w14:paraId="593BF42C" w14:textId="65CC24B5" w:rsidR="00250559" w:rsidRPr="00BE7E87" w:rsidRDefault="00250559" w:rsidP="00A17787">
            <w:pPr>
              <w:spacing w:line="278" w:lineRule="auto"/>
            </w:pPr>
            <w:r w:rsidRPr="00BE7E87">
              <w:t>-1.</w:t>
            </w:r>
            <w:r w:rsidR="00ED494E">
              <w:t>39</w:t>
            </w:r>
            <w:r w:rsidRPr="00BE7E87">
              <w:t>%</w:t>
            </w:r>
          </w:p>
        </w:tc>
        <w:tc>
          <w:tcPr>
            <w:tcW w:w="1656" w:type="dxa"/>
            <w:vAlign w:val="center"/>
            <w:hideMark/>
          </w:tcPr>
          <w:p w14:paraId="6C132CD3" w14:textId="615ED604" w:rsidR="00250559" w:rsidRPr="00BE7E87" w:rsidRDefault="00250559" w:rsidP="00A17787">
            <w:pPr>
              <w:spacing w:line="278" w:lineRule="auto"/>
            </w:pPr>
            <w:r w:rsidRPr="00BE7E87">
              <w:t>0</w:t>
            </w:r>
            <w:r w:rsidR="00ED494E">
              <w:t>.00</w:t>
            </w:r>
            <w:r w:rsidRPr="00BE7E87">
              <w:t>%</w:t>
            </w:r>
          </w:p>
        </w:tc>
      </w:tr>
      <w:tr w:rsidR="00250559" w:rsidRPr="00BE7E87" w14:paraId="2D66A9D3" w14:textId="77777777" w:rsidTr="002F6F9F">
        <w:trPr>
          <w:tblCellSpacing w:w="15" w:type="dxa"/>
        </w:trPr>
        <w:tc>
          <w:tcPr>
            <w:tcW w:w="0" w:type="auto"/>
            <w:vAlign w:val="center"/>
            <w:hideMark/>
          </w:tcPr>
          <w:p w14:paraId="6DCB730C" w14:textId="77777777" w:rsidR="00250559" w:rsidRPr="00BE7E87" w:rsidRDefault="00250559" w:rsidP="00A17787">
            <w:pPr>
              <w:spacing w:line="278" w:lineRule="auto"/>
            </w:pPr>
            <w:r w:rsidRPr="00BE7E87">
              <w:t>Lower Middle Quartile</w:t>
            </w:r>
          </w:p>
        </w:tc>
        <w:tc>
          <w:tcPr>
            <w:tcW w:w="1538" w:type="dxa"/>
            <w:vAlign w:val="center"/>
            <w:hideMark/>
          </w:tcPr>
          <w:p w14:paraId="31098ED8" w14:textId="2965104A" w:rsidR="00250559" w:rsidRPr="00BE7E87" w:rsidRDefault="00ED494E" w:rsidP="00A17787">
            <w:pPr>
              <w:spacing w:line="278" w:lineRule="auto"/>
            </w:pPr>
            <w:r>
              <w:t>10.83</w:t>
            </w:r>
            <w:r w:rsidR="00250559" w:rsidRPr="00BE7E87">
              <w:t>%</w:t>
            </w:r>
          </w:p>
        </w:tc>
        <w:tc>
          <w:tcPr>
            <w:tcW w:w="1656" w:type="dxa"/>
            <w:vAlign w:val="center"/>
            <w:hideMark/>
          </w:tcPr>
          <w:p w14:paraId="56B9B521" w14:textId="77777777" w:rsidR="00250559" w:rsidRPr="00BE7E87" w:rsidRDefault="00250559" w:rsidP="00A17787">
            <w:pPr>
              <w:spacing w:line="278" w:lineRule="auto"/>
            </w:pPr>
            <w:r w:rsidRPr="00BE7E87">
              <w:t>11.67%</w:t>
            </w:r>
          </w:p>
        </w:tc>
      </w:tr>
      <w:tr w:rsidR="00250559" w:rsidRPr="00BE7E87" w14:paraId="5D5C2793" w14:textId="77777777" w:rsidTr="002F6F9F">
        <w:trPr>
          <w:tblCellSpacing w:w="15" w:type="dxa"/>
        </w:trPr>
        <w:tc>
          <w:tcPr>
            <w:tcW w:w="0" w:type="auto"/>
            <w:vAlign w:val="center"/>
            <w:hideMark/>
          </w:tcPr>
          <w:p w14:paraId="568DE0A3" w14:textId="77777777" w:rsidR="00250559" w:rsidRPr="00BE7E87" w:rsidRDefault="00250559" w:rsidP="00A17787">
            <w:pPr>
              <w:spacing w:line="278" w:lineRule="auto"/>
            </w:pPr>
            <w:r w:rsidRPr="00BE7E87">
              <w:t>Upper Middle Quartile</w:t>
            </w:r>
          </w:p>
        </w:tc>
        <w:tc>
          <w:tcPr>
            <w:tcW w:w="1538" w:type="dxa"/>
            <w:vAlign w:val="center"/>
            <w:hideMark/>
          </w:tcPr>
          <w:p w14:paraId="1BEFB704" w14:textId="32EE1A5A" w:rsidR="00250559" w:rsidRPr="00BE7E87" w:rsidRDefault="00250559" w:rsidP="00A17787">
            <w:pPr>
              <w:spacing w:line="278" w:lineRule="auto"/>
            </w:pPr>
            <w:r w:rsidRPr="00BE7E87">
              <w:t>-</w:t>
            </w:r>
            <w:r w:rsidR="00ED494E">
              <w:t>0.09</w:t>
            </w:r>
            <w:r w:rsidRPr="00BE7E87">
              <w:t>%</w:t>
            </w:r>
          </w:p>
        </w:tc>
        <w:tc>
          <w:tcPr>
            <w:tcW w:w="1656" w:type="dxa"/>
            <w:vAlign w:val="center"/>
            <w:hideMark/>
          </w:tcPr>
          <w:p w14:paraId="564CDA36" w14:textId="2031FCD0" w:rsidR="00250559" w:rsidRPr="00BE7E87" w:rsidRDefault="00250559" w:rsidP="00A17787">
            <w:pPr>
              <w:spacing w:line="278" w:lineRule="auto"/>
            </w:pPr>
            <w:r w:rsidRPr="00BE7E87">
              <w:t>0</w:t>
            </w:r>
            <w:r w:rsidR="00ED494E">
              <w:t>.00</w:t>
            </w:r>
            <w:r w:rsidRPr="00BE7E87">
              <w:t>%</w:t>
            </w:r>
          </w:p>
        </w:tc>
      </w:tr>
      <w:tr w:rsidR="00250559" w:rsidRPr="00BE7E87" w14:paraId="787F9982" w14:textId="77777777" w:rsidTr="002F6F9F">
        <w:trPr>
          <w:tblCellSpacing w:w="15" w:type="dxa"/>
        </w:trPr>
        <w:tc>
          <w:tcPr>
            <w:tcW w:w="0" w:type="auto"/>
            <w:vAlign w:val="center"/>
            <w:hideMark/>
          </w:tcPr>
          <w:p w14:paraId="33672A10" w14:textId="77777777" w:rsidR="00250559" w:rsidRPr="00BE7E87" w:rsidRDefault="00250559" w:rsidP="00A17787">
            <w:pPr>
              <w:spacing w:line="278" w:lineRule="auto"/>
            </w:pPr>
            <w:r w:rsidRPr="00BE7E87">
              <w:t>Upper Quartile</w:t>
            </w:r>
          </w:p>
        </w:tc>
        <w:tc>
          <w:tcPr>
            <w:tcW w:w="1538" w:type="dxa"/>
            <w:vAlign w:val="center"/>
            <w:hideMark/>
          </w:tcPr>
          <w:p w14:paraId="17C584BA" w14:textId="77777777" w:rsidR="00250559" w:rsidRPr="00BE7E87" w:rsidRDefault="00250559" w:rsidP="00A17787">
            <w:pPr>
              <w:spacing w:line="278" w:lineRule="auto"/>
            </w:pPr>
            <w:r w:rsidRPr="00BE7E87">
              <w:t>6.30%</w:t>
            </w:r>
          </w:p>
        </w:tc>
        <w:tc>
          <w:tcPr>
            <w:tcW w:w="1656" w:type="dxa"/>
            <w:vAlign w:val="center"/>
            <w:hideMark/>
          </w:tcPr>
          <w:p w14:paraId="0F81900A" w14:textId="77777777" w:rsidR="00250559" w:rsidRPr="00BE7E87" w:rsidRDefault="00250559" w:rsidP="00A17787">
            <w:pPr>
              <w:spacing w:line="278" w:lineRule="auto"/>
            </w:pPr>
            <w:r w:rsidRPr="00BE7E87">
              <w:t>2.38%</w:t>
            </w:r>
          </w:p>
        </w:tc>
      </w:tr>
    </w:tbl>
    <w:p w14:paraId="51810136" w14:textId="77777777" w:rsidR="00EE115D" w:rsidRDefault="00EE115D" w:rsidP="00EE115D">
      <w:pPr>
        <w:pStyle w:val="NoSpacing"/>
      </w:pPr>
    </w:p>
    <w:p w14:paraId="5231142D" w14:textId="3F4191BE" w:rsidR="00250559" w:rsidRDefault="00250559" w:rsidP="00C643CE">
      <w:pPr>
        <w:spacing w:line="278" w:lineRule="auto"/>
        <w:jc w:val="both"/>
      </w:pPr>
      <w:r w:rsidRPr="00BE7E87">
        <w:t>These figures indicate that pay differences within quartiles are generally small, reinforcing that the College applies pay frameworks consistently and that the overall gender pay gap is not driven by unequal pay for the same work.</w:t>
      </w:r>
    </w:p>
    <w:p w14:paraId="3735E16A" w14:textId="77777777" w:rsidR="003A4C62" w:rsidRPr="00BE7E87" w:rsidRDefault="003A4C62" w:rsidP="00C643CE">
      <w:pPr>
        <w:spacing w:line="278" w:lineRule="auto"/>
        <w:jc w:val="both"/>
      </w:pPr>
    </w:p>
    <w:p w14:paraId="3FDFD73E" w14:textId="77777777" w:rsidR="00250559" w:rsidRPr="00BE7E87" w:rsidRDefault="00250559" w:rsidP="00250559">
      <w:pPr>
        <w:spacing w:line="278" w:lineRule="auto"/>
        <w:rPr>
          <w:b/>
          <w:bCs/>
        </w:rPr>
      </w:pPr>
      <w:r w:rsidRPr="00BE7E87">
        <w:rPr>
          <w:b/>
          <w:bCs/>
        </w:rPr>
        <w:lastRenderedPageBreak/>
        <w:t>Analysis</w:t>
      </w:r>
    </w:p>
    <w:p w14:paraId="55EF3194" w14:textId="65D516C2" w:rsidR="00C70024" w:rsidRPr="00C70024" w:rsidRDefault="000C2048" w:rsidP="00C70024">
      <w:pPr>
        <w:spacing w:line="278" w:lineRule="auto"/>
        <w:jc w:val="both"/>
      </w:pPr>
      <w:r w:rsidRPr="000C2048">
        <w:t xml:space="preserve">The data does not indicate systemic unequal pay for the same or equivalent roles. </w:t>
      </w:r>
      <w:r w:rsidR="00C70024" w:rsidRPr="00C70024">
        <w:t xml:space="preserve">The data does not indicate systemic unequal pay for the same or equivalent roles. It is primarily driven by the female dominance in the lower and lower middle quartiles due to women being more likely to work in part-time, lower-paid, support positions. </w:t>
      </w:r>
    </w:p>
    <w:p w14:paraId="352CFEBD" w14:textId="77777777" w:rsidR="00250559" w:rsidRPr="00BE7E87" w:rsidRDefault="00250559" w:rsidP="00250559">
      <w:pPr>
        <w:spacing w:line="278" w:lineRule="auto"/>
        <w:rPr>
          <w:b/>
          <w:bCs/>
        </w:rPr>
      </w:pPr>
      <w:r w:rsidRPr="00BE7E87">
        <w:rPr>
          <w:b/>
          <w:bCs/>
        </w:rPr>
        <w:t>Workforce Composition</w:t>
      </w:r>
    </w:p>
    <w:p w14:paraId="1A35786C" w14:textId="77777777" w:rsidR="00250559" w:rsidRPr="00BE7E87" w:rsidRDefault="00250559" w:rsidP="00C643CE">
      <w:pPr>
        <w:spacing w:line="278" w:lineRule="auto"/>
        <w:jc w:val="both"/>
      </w:pPr>
      <w:r w:rsidRPr="00BE7E87">
        <w:t>The College workforce is predominantly female, with 66.95% women and 33.05% men, which is consistent with the previous year and reflective of the wider further education sector. While this overall gender balance does not in itself create a gender pay gap, it influences pay distribution where women are more likely to be employed in lower-paid and part-time roles.</w:t>
      </w:r>
    </w:p>
    <w:p w14:paraId="10597FF5" w14:textId="77777777" w:rsidR="00250559" w:rsidRPr="00BE7E87" w:rsidRDefault="00250559" w:rsidP="00250559">
      <w:pPr>
        <w:spacing w:line="278" w:lineRule="auto"/>
        <w:rPr>
          <w:b/>
          <w:bCs/>
        </w:rPr>
      </w:pPr>
      <w:r w:rsidRPr="00BE7E87">
        <w:rPr>
          <w:b/>
          <w:bCs/>
        </w:rPr>
        <w:t>Bonus Pay</w:t>
      </w:r>
    </w:p>
    <w:p w14:paraId="7DE3BEA2" w14:textId="7BF8A5C0" w:rsidR="00250559" w:rsidRPr="00BE7E87" w:rsidRDefault="00ED494E" w:rsidP="0083208C">
      <w:pPr>
        <w:spacing w:line="278" w:lineRule="auto"/>
        <w:jc w:val="both"/>
      </w:pPr>
      <w:r>
        <w:t>There</w:t>
      </w:r>
      <w:r w:rsidR="00250559" w:rsidRPr="00BE7E87">
        <w:t xml:space="preserve"> is no separate bonus pay data to report for gender pay gap purposes</w:t>
      </w:r>
      <w:r w:rsidR="0083208C">
        <w:t>.</w:t>
      </w:r>
      <w:r w:rsidR="00000000">
        <w:pict w14:anchorId="158539B3">
          <v:rect id="_x0000_i1025" style="width:0;height:1.5pt" o:hralign="center" o:hrstd="t" o:hr="t" fillcolor="#a0a0a0" stroked="f"/>
        </w:pict>
      </w:r>
    </w:p>
    <w:p w14:paraId="25FAC934" w14:textId="2C771ED8" w:rsidR="0038121C" w:rsidRPr="002B1F0D" w:rsidRDefault="002B1F0D" w:rsidP="00250559">
      <w:pPr>
        <w:spacing w:line="278" w:lineRule="auto"/>
      </w:pPr>
      <w:r w:rsidRPr="002B1F0D">
        <w:t>I confirm that the gender pay gap information contained in this report is accurate and has been calculated in accordance with the Equality Act 2010 (Gender Pay Gap Information) Regulations 2017.</w:t>
      </w:r>
    </w:p>
    <w:p w14:paraId="2515383A" w14:textId="5A80F176" w:rsidR="00250559" w:rsidRPr="00BE7E87" w:rsidRDefault="00DB6B43" w:rsidP="00BA518C">
      <w:pPr>
        <w:pStyle w:val="NoSpacing"/>
      </w:pPr>
      <w:r>
        <w:t>Chief Financial &amp; Operating Officer</w:t>
      </w:r>
      <w:r w:rsidR="00250559" w:rsidRPr="00BE7E87">
        <w:br/>
      </w:r>
      <w:r>
        <w:t>March</w:t>
      </w:r>
      <w:r w:rsidR="00250559" w:rsidRPr="00BE7E87">
        <w:t xml:space="preserve"> 2026</w:t>
      </w:r>
    </w:p>
    <w:sectPr w:rsidR="00250559" w:rsidRPr="00BE7E87" w:rsidSect="00E95350">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120C" w14:textId="77777777" w:rsidR="00A97A99" w:rsidRDefault="00A97A99" w:rsidP="00616834">
      <w:pPr>
        <w:spacing w:after="0" w:line="240" w:lineRule="auto"/>
      </w:pPr>
      <w:r>
        <w:separator/>
      </w:r>
    </w:p>
  </w:endnote>
  <w:endnote w:type="continuationSeparator" w:id="0">
    <w:p w14:paraId="347F5003" w14:textId="77777777" w:rsidR="00A97A99" w:rsidRDefault="00A97A99" w:rsidP="00616834">
      <w:pPr>
        <w:spacing w:after="0" w:line="240" w:lineRule="auto"/>
      </w:pPr>
      <w:r>
        <w:continuationSeparator/>
      </w:r>
    </w:p>
  </w:endnote>
  <w:endnote w:type="continuationNotice" w:id="1">
    <w:p w14:paraId="4E33498E" w14:textId="77777777" w:rsidR="00A97A99" w:rsidRDefault="00A97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3195167"/>
      <w:docPartObj>
        <w:docPartGallery w:val="Page Numbers (Bottom of Page)"/>
        <w:docPartUnique/>
      </w:docPartObj>
    </w:sdtPr>
    <w:sdtEndPr>
      <w:rPr>
        <w:noProof/>
      </w:rPr>
    </w:sdtEndPr>
    <w:sdtContent>
      <w:p w14:paraId="6773B577" w14:textId="38B125C9" w:rsidR="009D67E7" w:rsidRPr="00524084" w:rsidRDefault="009D67E7">
        <w:pPr>
          <w:pStyle w:val="Footer"/>
          <w:jc w:val="center"/>
          <w:rPr>
            <w:rFonts w:ascii="Arial" w:hAnsi="Arial" w:cs="Arial"/>
          </w:rPr>
        </w:pPr>
        <w:r w:rsidRPr="00524084">
          <w:rPr>
            <w:rFonts w:ascii="Arial" w:hAnsi="Arial" w:cs="Arial"/>
          </w:rPr>
          <w:fldChar w:fldCharType="begin"/>
        </w:r>
        <w:r w:rsidRPr="00524084">
          <w:rPr>
            <w:rFonts w:ascii="Arial" w:hAnsi="Arial" w:cs="Arial"/>
          </w:rPr>
          <w:instrText xml:space="preserve"> PAGE   \* MERGEFORMAT </w:instrText>
        </w:r>
        <w:r w:rsidRPr="00524084">
          <w:rPr>
            <w:rFonts w:ascii="Arial" w:hAnsi="Arial" w:cs="Arial"/>
          </w:rPr>
          <w:fldChar w:fldCharType="separate"/>
        </w:r>
        <w:r w:rsidRPr="00524084">
          <w:rPr>
            <w:rFonts w:ascii="Arial" w:hAnsi="Arial" w:cs="Arial"/>
            <w:noProof/>
          </w:rPr>
          <w:t>2</w:t>
        </w:r>
        <w:r w:rsidRPr="00524084">
          <w:rPr>
            <w:rFonts w:ascii="Arial" w:hAnsi="Arial" w:cs="Arial"/>
            <w:noProof/>
          </w:rPr>
          <w:fldChar w:fldCharType="end"/>
        </w:r>
      </w:p>
    </w:sdtContent>
  </w:sdt>
  <w:p w14:paraId="0D732885" w14:textId="77777777" w:rsidR="009D67E7" w:rsidRDefault="009D6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C716" w14:textId="77777777" w:rsidR="00A97A99" w:rsidRDefault="00A97A99" w:rsidP="00616834">
      <w:pPr>
        <w:spacing w:after="0" w:line="240" w:lineRule="auto"/>
      </w:pPr>
      <w:r>
        <w:separator/>
      </w:r>
    </w:p>
  </w:footnote>
  <w:footnote w:type="continuationSeparator" w:id="0">
    <w:p w14:paraId="706A85E1" w14:textId="77777777" w:rsidR="00A97A99" w:rsidRDefault="00A97A99" w:rsidP="00616834">
      <w:pPr>
        <w:spacing w:after="0" w:line="240" w:lineRule="auto"/>
      </w:pPr>
      <w:r>
        <w:continuationSeparator/>
      </w:r>
    </w:p>
  </w:footnote>
  <w:footnote w:type="continuationNotice" w:id="1">
    <w:p w14:paraId="0AEDB0E8" w14:textId="77777777" w:rsidR="00A97A99" w:rsidRDefault="00A97A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87DD0"/>
    <w:multiLevelType w:val="multilevel"/>
    <w:tmpl w:val="E0A4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46AF1"/>
    <w:multiLevelType w:val="multilevel"/>
    <w:tmpl w:val="D83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A5107"/>
    <w:multiLevelType w:val="hybridMultilevel"/>
    <w:tmpl w:val="C0E6C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006E2E"/>
    <w:multiLevelType w:val="multilevel"/>
    <w:tmpl w:val="705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540BC"/>
    <w:multiLevelType w:val="hybridMultilevel"/>
    <w:tmpl w:val="75F0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F7686C"/>
    <w:multiLevelType w:val="multilevel"/>
    <w:tmpl w:val="B946598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6DD2823"/>
    <w:multiLevelType w:val="hybridMultilevel"/>
    <w:tmpl w:val="1F2A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D1BEA"/>
    <w:multiLevelType w:val="multilevel"/>
    <w:tmpl w:val="AA46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3240E"/>
    <w:multiLevelType w:val="multilevel"/>
    <w:tmpl w:val="AA46B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9E2AB2"/>
    <w:multiLevelType w:val="hybridMultilevel"/>
    <w:tmpl w:val="536254B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7863461D"/>
    <w:multiLevelType w:val="multilevel"/>
    <w:tmpl w:val="AA46B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203335"/>
    <w:multiLevelType w:val="multilevel"/>
    <w:tmpl w:val="AA46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501137">
    <w:abstractNumId w:val="2"/>
  </w:num>
  <w:num w:numId="2" w16cid:durableId="295986528">
    <w:abstractNumId w:val="5"/>
  </w:num>
  <w:num w:numId="3" w16cid:durableId="1781604061">
    <w:abstractNumId w:val="9"/>
  </w:num>
  <w:num w:numId="4" w16cid:durableId="468480965">
    <w:abstractNumId w:val="1"/>
  </w:num>
  <w:num w:numId="5" w16cid:durableId="654916761">
    <w:abstractNumId w:val="3"/>
  </w:num>
  <w:num w:numId="6" w16cid:durableId="180822713">
    <w:abstractNumId w:val="4"/>
  </w:num>
  <w:num w:numId="7" w16cid:durableId="2097703670">
    <w:abstractNumId w:val="8"/>
  </w:num>
  <w:num w:numId="8" w16cid:durableId="127667500">
    <w:abstractNumId w:val="0"/>
  </w:num>
  <w:num w:numId="9" w16cid:durableId="1629774363">
    <w:abstractNumId w:val="10"/>
  </w:num>
  <w:num w:numId="10" w16cid:durableId="1239828066">
    <w:abstractNumId w:val="6"/>
  </w:num>
  <w:num w:numId="11" w16cid:durableId="257757811">
    <w:abstractNumId w:val="7"/>
  </w:num>
  <w:num w:numId="12" w16cid:durableId="937980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04"/>
    <w:rsid w:val="00002080"/>
    <w:rsid w:val="00005C83"/>
    <w:rsid w:val="000076DB"/>
    <w:rsid w:val="00010B27"/>
    <w:rsid w:val="0001466C"/>
    <w:rsid w:val="00014B55"/>
    <w:rsid w:val="0001554E"/>
    <w:rsid w:val="00016E61"/>
    <w:rsid w:val="00021E68"/>
    <w:rsid w:val="00022394"/>
    <w:rsid w:val="000248AB"/>
    <w:rsid w:val="00027CB9"/>
    <w:rsid w:val="0003550B"/>
    <w:rsid w:val="00041F6B"/>
    <w:rsid w:val="000430BC"/>
    <w:rsid w:val="00043399"/>
    <w:rsid w:val="00043555"/>
    <w:rsid w:val="00053F5D"/>
    <w:rsid w:val="00056D8D"/>
    <w:rsid w:val="00073EB1"/>
    <w:rsid w:val="0007443E"/>
    <w:rsid w:val="00086559"/>
    <w:rsid w:val="00094A80"/>
    <w:rsid w:val="00095CB3"/>
    <w:rsid w:val="000A2D45"/>
    <w:rsid w:val="000A38E1"/>
    <w:rsid w:val="000A494D"/>
    <w:rsid w:val="000A794E"/>
    <w:rsid w:val="000B2E42"/>
    <w:rsid w:val="000C2048"/>
    <w:rsid w:val="000D0FDD"/>
    <w:rsid w:val="000D35EB"/>
    <w:rsid w:val="000E0A9C"/>
    <w:rsid w:val="000E219A"/>
    <w:rsid w:val="000E3639"/>
    <w:rsid w:val="000E62B5"/>
    <w:rsid w:val="000F1633"/>
    <w:rsid w:val="000F60F1"/>
    <w:rsid w:val="0010070F"/>
    <w:rsid w:val="00102460"/>
    <w:rsid w:val="00106EB7"/>
    <w:rsid w:val="001151EC"/>
    <w:rsid w:val="00124A51"/>
    <w:rsid w:val="00126313"/>
    <w:rsid w:val="0012677C"/>
    <w:rsid w:val="00130375"/>
    <w:rsid w:val="00130824"/>
    <w:rsid w:val="0013333A"/>
    <w:rsid w:val="00133718"/>
    <w:rsid w:val="0013555C"/>
    <w:rsid w:val="00136748"/>
    <w:rsid w:val="00137050"/>
    <w:rsid w:val="00137AEA"/>
    <w:rsid w:val="00140582"/>
    <w:rsid w:val="00141A6A"/>
    <w:rsid w:val="00141AEA"/>
    <w:rsid w:val="00141C00"/>
    <w:rsid w:val="001424B9"/>
    <w:rsid w:val="00151461"/>
    <w:rsid w:val="00152648"/>
    <w:rsid w:val="001547D1"/>
    <w:rsid w:val="00156146"/>
    <w:rsid w:val="0016418F"/>
    <w:rsid w:val="001650F7"/>
    <w:rsid w:val="00165235"/>
    <w:rsid w:val="00177110"/>
    <w:rsid w:val="001801B5"/>
    <w:rsid w:val="0018138C"/>
    <w:rsid w:val="0018164D"/>
    <w:rsid w:val="00181F1C"/>
    <w:rsid w:val="001865F2"/>
    <w:rsid w:val="001878C6"/>
    <w:rsid w:val="00190720"/>
    <w:rsid w:val="0019198F"/>
    <w:rsid w:val="001953D0"/>
    <w:rsid w:val="001962D2"/>
    <w:rsid w:val="0019634E"/>
    <w:rsid w:val="001A3200"/>
    <w:rsid w:val="001A3ACB"/>
    <w:rsid w:val="001A539A"/>
    <w:rsid w:val="001B06DC"/>
    <w:rsid w:val="001B44B0"/>
    <w:rsid w:val="001C2209"/>
    <w:rsid w:val="001C22AE"/>
    <w:rsid w:val="001D5A41"/>
    <w:rsid w:val="001D69E4"/>
    <w:rsid w:val="001E4C09"/>
    <w:rsid w:val="001E7B9C"/>
    <w:rsid w:val="001E7ED8"/>
    <w:rsid w:val="001F12FA"/>
    <w:rsid w:val="001F1D72"/>
    <w:rsid w:val="001F459C"/>
    <w:rsid w:val="00201114"/>
    <w:rsid w:val="00201A83"/>
    <w:rsid w:val="00202612"/>
    <w:rsid w:val="00202A6D"/>
    <w:rsid w:val="00202BDD"/>
    <w:rsid w:val="00204C9E"/>
    <w:rsid w:val="002102DD"/>
    <w:rsid w:val="002306E7"/>
    <w:rsid w:val="00231EC6"/>
    <w:rsid w:val="002346A3"/>
    <w:rsid w:val="00250559"/>
    <w:rsid w:val="00253914"/>
    <w:rsid w:val="00256CB4"/>
    <w:rsid w:val="0026035D"/>
    <w:rsid w:val="00262D7B"/>
    <w:rsid w:val="00263A9C"/>
    <w:rsid w:val="00267CF2"/>
    <w:rsid w:val="00270D13"/>
    <w:rsid w:val="002717F5"/>
    <w:rsid w:val="00271BA9"/>
    <w:rsid w:val="00274855"/>
    <w:rsid w:val="00276692"/>
    <w:rsid w:val="002801CF"/>
    <w:rsid w:val="00281965"/>
    <w:rsid w:val="002901D8"/>
    <w:rsid w:val="00292C52"/>
    <w:rsid w:val="00293E91"/>
    <w:rsid w:val="002960C1"/>
    <w:rsid w:val="002A41B8"/>
    <w:rsid w:val="002A620A"/>
    <w:rsid w:val="002B1AB8"/>
    <w:rsid w:val="002B1F0D"/>
    <w:rsid w:val="002B6D0F"/>
    <w:rsid w:val="002B7C0F"/>
    <w:rsid w:val="002C2A42"/>
    <w:rsid w:val="002C2F79"/>
    <w:rsid w:val="002C31EC"/>
    <w:rsid w:val="002C3EB8"/>
    <w:rsid w:val="002C4905"/>
    <w:rsid w:val="002D0B0C"/>
    <w:rsid w:val="002D590A"/>
    <w:rsid w:val="002E3FE0"/>
    <w:rsid w:val="002E4055"/>
    <w:rsid w:val="002E6844"/>
    <w:rsid w:val="002F4934"/>
    <w:rsid w:val="002F4CD4"/>
    <w:rsid w:val="002F56BD"/>
    <w:rsid w:val="002F63CB"/>
    <w:rsid w:val="002F6C32"/>
    <w:rsid w:val="002F6F9F"/>
    <w:rsid w:val="003162F4"/>
    <w:rsid w:val="003256B8"/>
    <w:rsid w:val="00327401"/>
    <w:rsid w:val="00331BE1"/>
    <w:rsid w:val="0033281E"/>
    <w:rsid w:val="00335F50"/>
    <w:rsid w:val="0033723E"/>
    <w:rsid w:val="00337D0B"/>
    <w:rsid w:val="00337D25"/>
    <w:rsid w:val="00340168"/>
    <w:rsid w:val="00345686"/>
    <w:rsid w:val="00350333"/>
    <w:rsid w:val="00350DFE"/>
    <w:rsid w:val="0035680A"/>
    <w:rsid w:val="00363247"/>
    <w:rsid w:val="00366C75"/>
    <w:rsid w:val="00367071"/>
    <w:rsid w:val="0036720F"/>
    <w:rsid w:val="0037109D"/>
    <w:rsid w:val="00371618"/>
    <w:rsid w:val="00372142"/>
    <w:rsid w:val="00372804"/>
    <w:rsid w:val="003734DA"/>
    <w:rsid w:val="003811C4"/>
    <w:rsid w:val="0038121C"/>
    <w:rsid w:val="00385942"/>
    <w:rsid w:val="00386161"/>
    <w:rsid w:val="00392E9B"/>
    <w:rsid w:val="00392FD6"/>
    <w:rsid w:val="003974FE"/>
    <w:rsid w:val="003A2AA1"/>
    <w:rsid w:val="003A4C62"/>
    <w:rsid w:val="003A767E"/>
    <w:rsid w:val="003B265E"/>
    <w:rsid w:val="003B6FA9"/>
    <w:rsid w:val="003C017F"/>
    <w:rsid w:val="003C18BC"/>
    <w:rsid w:val="003C4282"/>
    <w:rsid w:val="003C4FE9"/>
    <w:rsid w:val="003D0A08"/>
    <w:rsid w:val="003D1A1B"/>
    <w:rsid w:val="003D1EE9"/>
    <w:rsid w:val="003D5977"/>
    <w:rsid w:val="003D5E1D"/>
    <w:rsid w:val="003E0165"/>
    <w:rsid w:val="003E0A33"/>
    <w:rsid w:val="003E2A51"/>
    <w:rsid w:val="003E48E5"/>
    <w:rsid w:val="003E60FE"/>
    <w:rsid w:val="003F0378"/>
    <w:rsid w:val="003F6D34"/>
    <w:rsid w:val="003F6E72"/>
    <w:rsid w:val="004011AF"/>
    <w:rsid w:val="00405F2B"/>
    <w:rsid w:val="0041126B"/>
    <w:rsid w:val="00412299"/>
    <w:rsid w:val="00425FF4"/>
    <w:rsid w:val="004275F7"/>
    <w:rsid w:val="0043108E"/>
    <w:rsid w:val="00433ACC"/>
    <w:rsid w:val="0043678A"/>
    <w:rsid w:val="00437622"/>
    <w:rsid w:val="0044112F"/>
    <w:rsid w:val="004528A6"/>
    <w:rsid w:val="00452FF4"/>
    <w:rsid w:val="00453684"/>
    <w:rsid w:val="00454A4F"/>
    <w:rsid w:val="00456C4B"/>
    <w:rsid w:val="00470FE6"/>
    <w:rsid w:val="00472684"/>
    <w:rsid w:val="0047393C"/>
    <w:rsid w:val="0047508F"/>
    <w:rsid w:val="00484D09"/>
    <w:rsid w:val="00484F1C"/>
    <w:rsid w:val="00492005"/>
    <w:rsid w:val="00492317"/>
    <w:rsid w:val="0049492E"/>
    <w:rsid w:val="00495C9F"/>
    <w:rsid w:val="00496103"/>
    <w:rsid w:val="004971E8"/>
    <w:rsid w:val="004A3974"/>
    <w:rsid w:val="004A479F"/>
    <w:rsid w:val="004A6834"/>
    <w:rsid w:val="004A68C7"/>
    <w:rsid w:val="004B2814"/>
    <w:rsid w:val="004B4FFB"/>
    <w:rsid w:val="004B7128"/>
    <w:rsid w:val="004C4C37"/>
    <w:rsid w:val="004C5951"/>
    <w:rsid w:val="004D3264"/>
    <w:rsid w:val="004D6278"/>
    <w:rsid w:val="004E2261"/>
    <w:rsid w:val="004E2F6B"/>
    <w:rsid w:val="004E78A7"/>
    <w:rsid w:val="004F11EF"/>
    <w:rsid w:val="004F16E1"/>
    <w:rsid w:val="004F2C9F"/>
    <w:rsid w:val="004F73AB"/>
    <w:rsid w:val="00505F51"/>
    <w:rsid w:val="00506DF2"/>
    <w:rsid w:val="00507E96"/>
    <w:rsid w:val="0051365D"/>
    <w:rsid w:val="00513780"/>
    <w:rsid w:val="005138E1"/>
    <w:rsid w:val="005151F4"/>
    <w:rsid w:val="00524084"/>
    <w:rsid w:val="005242B3"/>
    <w:rsid w:val="00527FAD"/>
    <w:rsid w:val="005311DC"/>
    <w:rsid w:val="005315F9"/>
    <w:rsid w:val="00531F74"/>
    <w:rsid w:val="0053359A"/>
    <w:rsid w:val="00540566"/>
    <w:rsid w:val="00542308"/>
    <w:rsid w:val="0054304E"/>
    <w:rsid w:val="00546CF5"/>
    <w:rsid w:val="005503DF"/>
    <w:rsid w:val="00551301"/>
    <w:rsid w:val="005558D3"/>
    <w:rsid w:val="0055641E"/>
    <w:rsid w:val="00563AA4"/>
    <w:rsid w:val="00565995"/>
    <w:rsid w:val="0056675E"/>
    <w:rsid w:val="00572281"/>
    <w:rsid w:val="00574D37"/>
    <w:rsid w:val="005817C3"/>
    <w:rsid w:val="00582BAE"/>
    <w:rsid w:val="005909F6"/>
    <w:rsid w:val="00591D04"/>
    <w:rsid w:val="00595490"/>
    <w:rsid w:val="005A2915"/>
    <w:rsid w:val="005A2BB0"/>
    <w:rsid w:val="005A3F2A"/>
    <w:rsid w:val="005B231D"/>
    <w:rsid w:val="005B23A1"/>
    <w:rsid w:val="005B2A0F"/>
    <w:rsid w:val="005B6861"/>
    <w:rsid w:val="005B77C2"/>
    <w:rsid w:val="005C0307"/>
    <w:rsid w:val="005C0473"/>
    <w:rsid w:val="005C19B9"/>
    <w:rsid w:val="005C5238"/>
    <w:rsid w:val="005C6A52"/>
    <w:rsid w:val="005C6B8D"/>
    <w:rsid w:val="005C70AE"/>
    <w:rsid w:val="005C76B8"/>
    <w:rsid w:val="005D024F"/>
    <w:rsid w:val="005D0F66"/>
    <w:rsid w:val="005D10DB"/>
    <w:rsid w:val="005D1CEB"/>
    <w:rsid w:val="005D1D89"/>
    <w:rsid w:val="005D365A"/>
    <w:rsid w:val="005D781B"/>
    <w:rsid w:val="005E06C5"/>
    <w:rsid w:val="005E20FB"/>
    <w:rsid w:val="005E2862"/>
    <w:rsid w:val="005F3548"/>
    <w:rsid w:val="005F5962"/>
    <w:rsid w:val="005F6034"/>
    <w:rsid w:val="005F7A65"/>
    <w:rsid w:val="00601659"/>
    <w:rsid w:val="00604886"/>
    <w:rsid w:val="00605223"/>
    <w:rsid w:val="00616834"/>
    <w:rsid w:val="00616ADB"/>
    <w:rsid w:val="006230E1"/>
    <w:rsid w:val="00623D38"/>
    <w:rsid w:val="00625074"/>
    <w:rsid w:val="00627211"/>
    <w:rsid w:val="00630DE4"/>
    <w:rsid w:val="006329EF"/>
    <w:rsid w:val="00632C32"/>
    <w:rsid w:val="0063355C"/>
    <w:rsid w:val="00635996"/>
    <w:rsid w:val="00637634"/>
    <w:rsid w:val="006407AB"/>
    <w:rsid w:val="00641DF8"/>
    <w:rsid w:val="006448B7"/>
    <w:rsid w:val="006467F8"/>
    <w:rsid w:val="00652E35"/>
    <w:rsid w:val="00655FF6"/>
    <w:rsid w:val="00662F71"/>
    <w:rsid w:val="0066718A"/>
    <w:rsid w:val="006712E0"/>
    <w:rsid w:val="00676791"/>
    <w:rsid w:val="0068070F"/>
    <w:rsid w:val="00684233"/>
    <w:rsid w:val="00685BEE"/>
    <w:rsid w:val="006860BD"/>
    <w:rsid w:val="00691C1B"/>
    <w:rsid w:val="006920C7"/>
    <w:rsid w:val="00695101"/>
    <w:rsid w:val="00696224"/>
    <w:rsid w:val="006A05F7"/>
    <w:rsid w:val="006A0EFF"/>
    <w:rsid w:val="006A1B85"/>
    <w:rsid w:val="006A2407"/>
    <w:rsid w:val="006A30F7"/>
    <w:rsid w:val="006A37F0"/>
    <w:rsid w:val="006B273F"/>
    <w:rsid w:val="006B2A5A"/>
    <w:rsid w:val="006B40DB"/>
    <w:rsid w:val="006B78EE"/>
    <w:rsid w:val="006C0770"/>
    <w:rsid w:val="006C191E"/>
    <w:rsid w:val="006C5854"/>
    <w:rsid w:val="006C5DCA"/>
    <w:rsid w:val="006C7D6B"/>
    <w:rsid w:val="006D3A26"/>
    <w:rsid w:val="006D46FD"/>
    <w:rsid w:val="006D6E5D"/>
    <w:rsid w:val="006D7A89"/>
    <w:rsid w:val="006E7DB6"/>
    <w:rsid w:val="006E7E01"/>
    <w:rsid w:val="006F10F5"/>
    <w:rsid w:val="006F2144"/>
    <w:rsid w:val="00700CCF"/>
    <w:rsid w:val="00701C33"/>
    <w:rsid w:val="007025BC"/>
    <w:rsid w:val="00702A86"/>
    <w:rsid w:val="00705049"/>
    <w:rsid w:val="00706294"/>
    <w:rsid w:val="00710434"/>
    <w:rsid w:val="00715C4A"/>
    <w:rsid w:val="00722A17"/>
    <w:rsid w:val="007334A0"/>
    <w:rsid w:val="0073566A"/>
    <w:rsid w:val="0074024A"/>
    <w:rsid w:val="00746B16"/>
    <w:rsid w:val="00753417"/>
    <w:rsid w:val="00753BFF"/>
    <w:rsid w:val="00754C4A"/>
    <w:rsid w:val="00756CB0"/>
    <w:rsid w:val="00757D77"/>
    <w:rsid w:val="00762EFF"/>
    <w:rsid w:val="00765F32"/>
    <w:rsid w:val="00767EF3"/>
    <w:rsid w:val="007700DA"/>
    <w:rsid w:val="0077130D"/>
    <w:rsid w:val="00774E22"/>
    <w:rsid w:val="00777560"/>
    <w:rsid w:val="0078051C"/>
    <w:rsid w:val="007808CC"/>
    <w:rsid w:val="00781C27"/>
    <w:rsid w:val="00787869"/>
    <w:rsid w:val="00790EFC"/>
    <w:rsid w:val="00791FC1"/>
    <w:rsid w:val="007935B9"/>
    <w:rsid w:val="00794934"/>
    <w:rsid w:val="007957A8"/>
    <w:rsid w:val="007A00C5"/>
    <w:rsid w:val="007A28C8"/>
    <w:rsid w:val="007A40B0"/>
    <w:rsid w:val="007A6075"/>
    <w:rsid w:val="007A6A9B"/>
    <w:rsid w:val="007B1AA6"/>
    <w:rsid w:val="007B25BD"/>
    <w:rsid w:val="007B2F98"/>
    <w:rsid w:val="007B669A"/>
    <w:rsid w:val="007B6A0A"/>
    <w:rsid w:val="007C1841"/>
    <w:rsid w:val="007C327B"/>
    <w:rsid w:val="007C44A2"/>
    <w:rsid w:val="007C605D"/>
    <w:rsid w:val="007C7E6C"/>
    <w:rsid w:val="007D1BAE"/>
    <w:rsid w:val="007D618C"/>
    <w:rsid w:val="007D659E"/>
    <w:rsid w:val="007D7F90"/>
    <w:rsid w:val="007E2D1B"/>
    <w:rsid w:val="007E7A74"/>
    <w:rsid w:val="007F0469"/>
    <w:rsid w:val="007F0DC4"/>
    <w:rsid w:val="007F7DC0"/>
    <w:rsid w:val="00800D76"/>
    <w:rsid w:val="00803CE0"/>
    <w:rsid w:val="00804660"/>
    <w:rsid w:val="00812A3F"/>
    <w:rsid w:val="00815E74"/>
    <w:rsid w:val="00816483"/>
    <w:rsid w:val="008164E1"/>
    <w:rsid w:val="00817CF9"/>
    <w:rsid w:val="00820C43"/>
    <w:rsid w:val="008227B5"/>
    <w:rsid w:val="0082326D"/>
    <w:rsid w:val="00826BBE"/>
    <w:rsid w:val="00826D31"/>
    <w:rsid w:val="00827C66"/>
    <w:rsid w:val="00827E7D"/>
    <w:rsid w:val="00830346"/>
    <w:rsid w:val="0083208C"/>
    <w:rsid w:val="00833188"/>
    <w:rsid w:val="00835A37"/>
    <w:rsid w:val="00842FF0"/>
    <w:rsid w:val="008431F3"/>
    <w:rsid w:val="00852257"/>
    <w:rsid w:val="00853E31"/>
    <w:rsid w:val="008547E8"/>
    <w:rsid w:val="00855717"/>
    <w:rsid w:val="00855A85"/>
    <w:rsid w:val="008609B9"/>
    <w:rsid w:val="00860F45"/>
    <w:rsid w:val="0086465C"/>
    <w:rsid w:val="008670B5"/>
    <w:rsid w:val="00872459"/>
    <w:rsid w:val="00872ED6"/>
    <w:rsid w:val="00873349"/>
    <w:rsid w:val="0087724E"/>
    <w:rsid w:val="0088509F"/>
    <w:rsid w:val="008958D8"/>
    <w:rsid w:val="00895D42"/>
    <w:rsid w:val="0089786D"/>
    <w:rsid w:val="00897CDD"/>
    <w:rsid w:val="008A0CA7"/>
    <w:rsid w:val="008A5824"/>
    <w:rsid w:val="008B70A2"/>
    <w:rsid w:val="008C0396"/>
    <w:rsid w:val="008C1EF4"/>
    <w:rsid w:val="008C286F"/>
    <w:rsid w:val="008C2D90"/>
    <w:rsid w:val="008C360C"/>
    <w:rsid w:val="008C48DE"/>
    <w:rsid w:val="008D004B"/>
    <w:rsid w:val="008D449B"/>
    <w:rsid w:val="008D6ACF"/>
    <w:rsid w:val="008D7058"/>
    <w:rsid w:val="008E34C6"/>
    <w:rsid w:val="008E4599"/>
    <w:rsid w:val="008E6741"/>
    <w:rsid w:val="008E6ACD"/>
    <w:rsid w:val="008E7CFB"/>
    <w:rsid w:val="008F1D5C"/>
    <w:rsid w:val="008F29F2"/>
    <w:rsid w:val="008F450F"/>
    <w:rsid w:val="009025C3"/>
    <w:rsid w:val="009034EB"/>
    <w:rsid w:val="00905B7D"/>
    <w:rsid w:val="0090664F"/>
    <w:rsid w:val="00925F02"/>
    <w:rsid w:val="00931564"/>
    <w:rsid w:val="009326CD"/>
    <w:rsid w:val="0093336E"/>
    <w:rsid w:val="009356D2"/>
    <w:rsid w:val="00935B92"/>
    <w:rsid w:val="00940FB6"/>
    <w:rsid w:val="00943FC3"/>
    <w:rsid w:val="009440A8"/>
    <w:rsid w:val="00945416"/>
    <w:rsid w:val="00950E55"/>
    <w:rsid w:val="00952449"/>
    <w:rsid w:val="009525C8"/>
    <w:rsid w:val="00954DC9"/>
    <w:rsid w:val="00957C9F"/>
    <w:rsid w:val="00960AE5"/>
    <w:rsid w:val="0096348B"/>
    <w:rsid w:val="009638BB"/>
    <w:rsid w:val="00972282"/>
    <w:rsid w:val="00974F2B"/>
    <w:rsid w:val="009760FB"/>
    <w:rsid w:val="00982B20"/>
    <w:rsid w:val="00983D58"/>
    <w:rsid w:val="0098442B"/>
    <w:rsid w:val="00986EE0"/>
    <w:rsid w:val="00990CA8"/>
    <w:rsid w:val="00994A67"/>
    <w:rsid w:val="00995F99"/>
    <w:rsid w:val="0099679B"/>
    <w:rsid w:val="00996827"/>
    <w:rsid w:val="009A36CD"/>
    <w:rsid w:val="009A3B85"/>
    <w:rsid w:val="009A7504"/>
    <w:rsid w:val="009A7B4F"/>
    <w:rsid w:val="009B1004"/>
    <w:rsid w:val="009B2B4E"/>
    <w:rsid w:val="009B391A"/>
    <w:rsid w:val="009B3D0D"/>
    <w:rsid w:val="009D0187"/>
    <w:rsid w:val="009D1273"/>
    <w:rsid w:val="009D2C38"/>
    <w:rsid w:val="009D67E7"/>
    <w:rsid w:val="009E44AA"/>
    <w:rsid w:val="009E6D7C"/>
    <w:rsid w:val="009E75AD"/>
    <w:rsid w:val="009F2F66"/>
    <w:rsid w:val="00A01A15"/>
    <w:rsid w:val="00A1072C"/>
    <w:rsid w:val="00A11316"/>
    <w:rsid w:val="00A17425"/>
    <w:rsid w:val="00A201BE"/>
    <w:rsid w:val="00A2398C"/>
    <w:rsid w:val="00A277A2"/>
    <w:rsid w:val="00A30499"/>
    <w:rsid w:val="00A338DA"/>
    <w:rsid w:val="00A34CA7"/>
    <w:rsid w:val="00A4166E"/>
    <w:rsid w:val="00A41A0C"/>
    <w:rsid w:val="00A45F0C"/>
    <w:rsid w:val="00A50F65"/>
    <w:rsid w:val="00A51DEA"/>
    <w:rsid w:val="00A527FA"/>
    <w:rsid w:val="00A52B83"/>
    <w:rsid w:val="00A62253"/>
    <w:rsid w:val="00A63C8A"/>
    <w:rsid w:val="00A63C96"/>
    <w:rsid w:val="00A73DEA"/>
    <w:rsid w:val="00A76B56"/>
    <w:rsid w:val="00A76C60"/>
    <w:rsid w:val="00A772AF"/>
    <w:rsid w:val="00A80B49"/>
    <w:rsid w:val="00A8393E"/>
    <w:rsid w:val="00A86072"/>
    <w:rsid w:val="00A86342"/>
    <w:rsid w:val="00A90033"/>
    <w:rsid w:val="00A90391"/>
    <w:rsid w:val="00A9195F"/>
    <w:rsid w:val="00A928B0"/>
    <w:rsid w:val="00A928DD"/>
    <w:rsid w:val="00A93585"/>
    <w:rsid w:val="00A94E0F"/>
    <w:rsid w:val="00A96562"/>
    <w:rsid w:val="00A96E18"/>
    <w:rsid w:val="00A97A99"/>
    <w:rsid w:val="00AA5D2E"/>
    <w:rsid w:val="00AB5659"/>
    <w:rsid w:val="00AB622D"/>
    <w:rsid w:val="00AD1D89"/>
    <w:rsid w:val="00AD1F25"/>
    <w:rsid w:val="00AD351E"/>
    <w:rsid w:val="00AD6707"/>
    <w:rsid w:val="00AD788E"/>
    <w:rsid w:val="00AD7CCD"/>
    <w:rsid w:val="00AF345E"/>
    <w:rsid w:val="00AF348A"/>
    <w:rsid w:val="00AF348D"/>
    <w:rsid w:val="00AF35CA"/>
    <w:rsid w:val="00AF4D83"/>
    <w:rsid w:val="00AF5B24"/>
    <w:rsid w:val="00AF718A"/>
    <w:rsid w:val="00B02EBD"/>
    <w:rsid w:val="00B05176"/>
    <w:rsid w:val="00B075A3"/>
    <w:rsid w:val="00B1210E"/>
    <w:rsid w:val="00B12182"/>
    <w:rsid w:val="00B152F1"/>
    <w:rsid w:val="00B170CC"/>
    <w:rsid w:val="00B217E9"/>
    <w:rsid w:val="00B21EAE"/>
    <w:rsid w:val="00B24382"/>
    <w:rsid w:val="00B26409"/>
    <w:rsid w:val="00B27661"/>
    <w:rsid w:val="00B3075B"/>
    <w:rsid w:val="00B3078B"/>
    <w:rsid w:val="00B30DA9"/>
    <w:rsid w:val="00B32539"/>
    <w:rsid w:val="00B414C6"/>
    <w:rsid w:val="00B415FC"/>
    <w:rsid w:val="00B53941"/>
    <w:rsid w:val="00B53ECF"/>
    <w:rsid w:val="00B616EC"/>
    <w:rsid w:val="00B6463B"/>
    <w:rsid w:val="00B65292"/>
    <w:rsid w:val="00B6783A"/>
    <w:rsid w:val="00B712E1"/>
    <w:rsid w:val="00B7429A"/>
    <w:rsid w:val="00B75056"/>
    <w:rsid w:val="00B81F83"/>
    <w:rsid w:val="00B82C0F"/>
    <w:rsid w:val="00B834D3"/>
    <w:rsid w:val="00B8365C"/>
    <w:rsid w:val="00B8772E"/>
    <w:rsid w:val="00B87E64"/>
    <w:rsid w:val="00B909AA"/>
    <w:rsid w:val="00B94DC5"/>
    <w:rsid w:val="00B968CF"/>
    <w:rsid w:val="00B96C62"/>
    <w:rsid w:val="00B97297"/>
    <w:rsid w:val="00B9765E"/>
    <w:rsid w:val="00BA3967"/>
    <w:rsid w:val="00BA3E84"/>
    <w:rsid w:val="00BA4132"/>
    <w:rsid w:val="00BA518C"/>
    <w:rsid w:val="00BA57EA"/>
    <w:rsid w:val="00BA7717"/>
    <w:rsid w:val="00BB0E50"/>
    <w:rsid w:val="00BB1B41"/>
    <w:rsid w:val="00BB7D15"/>
    <w:rsid w:val="00BB7D2E"/>
    <w:rsid w:val="00BC2E55"/>
    <w:rsid w:val="00BC4341"/>
    <w:rsid w:val="00BD142C"/>
    <w:rsid w:val="00BD175E"/>
    <w:rsid w:val="00BD6DC0"/>
    <w:rsid w:val="00BD7970"/>
    <w:rsid w:val="00BE4953"/>
    <w:rsid w:val="00BE61A1"/>
    <w:rsid w:val="00BE61DD"/>
    <w:rsid w:val="00BE69A6"/>
    <w:rsid w:val="00BE6BB8"/>
    <w:rsid w:val="00C04C74"/>
    <w:rsid w:val="00C152DA"/>
    <w:rsid w:val="00C177C8"/>
    <w:rsid w:val="00C17B3A"/>
    <w:rsid w:val="00C23FE5"/>
    <w:rsid w:val="00C25451"/>
    <w:rsid w:val="00C26209"/>
    <w:rsid w:val="00C26915"/>
    <w:rsid w:val="00C27BAE"/>
    <w:rsid w:val="00C3232C"/>
    <w:rsid w:val="00C34774"/>
    <w:rsid w:val="00C40131"/>
    <w:rsid w:val="00C40F6C"/>
    <w:rsid w:val="00C425AF"/>
    <w:rsid w:val="00C43F6F"/>
    <w:rsid w:val="00C46E0D"/>
    <w:rsid w:val="00C52247"/>
    <w:rsid w:val="00C550B6"/>
    <w:rsid w:val="00C558F8"/>
    <w:rsid w:val="00C6071A"/>
    <w:rsid w:val="00C643CE"/>
    <w:rsid w:val="00C66BA4"/>
    <w:rsid w:val="00C70024"/>
    <w:rsid w:val="00C85C9D"/>
    <w:rsid w:val="00C864FF"/>
    <w:rsid w:val="00C874DC"/>
    <w:rsid w:val="00C878AE"/>
    <w:rsid w:val="00C906F3"/>
    <w:rsid w:val="00C92E5A"/>
    <w:rsid w:val="00C95386"/>
    <w:rsid w:val="00C95893"/>
    <w:rsid w:val="00C9637A"/>
    <w:rsid w:val="00CA0833"/>
    <w:rsid w:val="00CA2541"/>
    <w:rsid w:val="00CA6170"/>
    <w:rsid w:val="00CA677C"/>
    <w:rsid w:val="00CA6E87"/>
    <w:rsid w:val="00CB1AFA"/>
    <w:rsid w:val="00CB4DF0"/>
    <w:rsid w:val="00CC3526"/>
    <w:rsid w:val="00CC3FCE"/>
    <w:rsid w:val="00CC408C"/>
    <w:rsid w:val="00CC66F6"/>
    <w:rsid w:val="00CC6F54"/>
    <w:rsid w:val="00CD4B0A"/>
    <w:rsid w:val="00CD4B0B"/>
    <w:rsid w:val="00CD625C"/>
    <w:rsid w:val="00CD7C81"/>
    <w:rsid w:val="00CE1EEB"/>
    <w:rsid w:val="00CE6B88"/>
    <w:rsid w:val="00CF0A93"/>
    <w:rsid w:val="00CF5435"/>
    <w:rsid w:val="00CF5780"/>
    <w:rsid w:val="00CF593A"/>
    <w:rsid w:val="00D01A17"/>
    <w:rsid w:val="00D01B5B"/>
    <w:rsid w:val="00D022CA"/>
    <w:rsid w:val="00D05A78"/>
    <w:rsid w:val="00D10879"/>
    <w:rsid w:val="00D156FB"/>
    <w:rsid w:val="00D16CE8"/>
    <w:rsid w:val="00D17AC5"/>
    <w:rsid w:val="00D17E31"/>
    <w:rsid w:val="00D2288D"/>
    <w:rsid w:val="00D26251"/>
    <w:rsid w:val="00D26EE3"/>
    <w:rsid w:val="00D32C29"/>
    <w:rsid w:val="00D32FEF"/>
    <w:rsid w:val="00D34331"/>
    <w:rsid w:val="00D35228"/>
    <w:rsid w:val="00D35613"/>
    <w:rsid w:val="00D36871"/>
    <w:rsid w:val="00D4148A"/>
    <w:rsid w:val="00D421B8"/>
    <w:rsid w:val="00D44B0C"/>
    <w:rsid w:val="00D45EBA"/>
    <w:rsid w:val="00D4738E"/>
    <w:rsid w:val="00D51EE9"/>
    <w:rsid w:val="00D54B7D"/>
    <w:rsid w:val="00D551C0"/>
    <w:rsid w:val="00D55B38"/>
    <w:rsid w:val="00D56210"/>
    <w:rsid w:val="00D5697D"/>
    <w:rsid w:val="00D60B96"/>
    <w:rsid w:val="00D60F43"/>
    <w:rsid w:val="00D62327"/>
    <w:rsid w:val="00D624FF"/>
    <w:rsid w:val="00D66614"/>
    <w:rsid w:val="00D67D88"/>
    <w:rsid w:val="00D75C05"/>
    <w:rsid w:val="00D76EC2"/>
    <w:rsid w:val="00D77E98"/>
    <w:rsid w:val="00D80AAB"/>
    <w:rsid w:val="00D8463C"/>
    <w:rsid w:val="00D847E8"/>
    <w:rsid w:val="00D90224"/>
    <w:rsid w:val="00D9192C"/>
    <w:rsid w:val="00D926A0"/>
    <w:rsid w:val="00D92EF4"/>
    <w:rsid w:val="00DA1B1A"/>
    <w:rsid w:val="00DA4024"/>
    <w:rsid w:val="00DA45F4"/>
    <w:rsid w:val="00DA6505"/>
    <w:rsid w:val="00DB1555"/>
    <w:rsid w:val="00DB4DB5"/>
    <w:rsid w:val="00DB5486"/>
    <w:rsid w:val="00DB6B43"/>
    <w:rsid w:val="00DD2BA0"/>
    <w:rsid w:val="00DD3BAD"/>
    <w:rsid w:val="00DE03F9"/>
    <w:rsid w:val="00DE06AD"/>
    <w:rsid w:val="00DE1892"/>
    <w:rsid w:val="00DE348F"/>
    <w:rsid w:val="00DE7C38"/>
    <w:rsid w:val="00DE7DDC"/>
    <w:rsid w:val="00DF25CB"/>
    <w:rsid w:val="00DF410C"/>
    <w:rsid w:val="00DF4344"/>
    <w:rsid w:val="00DF5F0E"/>
    <w:rsid w:val="00E03140"/>
    <w:rsid w:val="00E07831"/>
    <w:rsid w:val="00E07E09"/>
    <w:rsid w:val="00E107EF"/>
    <w:rsid w:val="00E135F0"/>
    <w:rsid w:val="00E14E45"/>
    <w:rsid w:val="00E1522B"/>
    <w:rsid w:val="00E160CD"/>
    <w:rsid w:val="00E16303"/>
    <w:rsid w:val="00E17252"/>
    <w:rsid w:val="00E17989"/>
    <w:rsid w:val="00E20E98"/>
    <w:rsid w:val="00E22DE7"/>
    <w:rsid w:val="00E32503"/>
    <w:rsid w:val="00E3786F"/>
    <w:rsid w:val="00E428DA"/>
    <w:rsid w:val="00E42BC0"/>
    <w:rsid w:val="00E4384B"/>
    <w:rsid w:val="00E45356"/>
    <w:rsid w:val="00E556F1"/>
    <w:rsid w:val="00E57DB1"/>
    <w:rsid w:val="00E62F11"/>
    <w:rsid w:val="00E7298F"/>
    <w:rsid w:val="00E8190A"/>
    <w:rsid w:val="00E81ECC"/>
    <w:rsid w:val="00E87FE0"/>
    <w:rsid w:val="00E906CE"/>
    <w:rsid w:val="00E92405"/>
    <w:rsid w:val="00E92865"/>
    <w:rsid w:val="00E95350"/>
    <w:rsid w:val="00EA301B"/>
    <w:rsid w:val="00EA57D5"/>
    <w:rsid w:val="00EC11E7"/>
    <w:rsid w:val="00EC1774"/>
    <w:rsid w:val="00EC1EF7"/>
    <w:rsid w:val="00EC42C7"/>
    <w:rsid w:val="00EC536E"/>
    <w:rsid w:val="00EC5F71"/>
    <w:rsid w:val="00EC717A"/>
    <w:rsid w:val="00ED494E"/>
    <w:rsid w:val="00ED6C9C"/>
    <w:rsid w:val="00ED71C2"/>
    <w:rsid w:val="00EE065B"/>
    <w:rsid w:val="00EE115D"/>
    <w:rsid w:val="00EE11BA"/>
    <w:rsid w:val="00EE1B49"/>
    <w:rsid w:val="00EE27E4"/>
    <w:rsid w:val="00EE3B12"/>
    <w:rsid w:val="00EE6549"/>
    <w:rsid w:val="00EE75F9"/>
    <w:rsid w:val="00EF1F75"/>
    <w:rsid w:val="00EF27E7"/>
    <w:rsid w:val="00EF3405"/>
    <w:rsid w:val="00EF6B9B"/>
    <w:rsid w:val="00F00D8A"/>
    <w:rsid w:val="00F0236B"/>
    <w:rsid w:val="00F02FE1"/>
    <w:rsid w:val="00F038E6"/>
    <w:rsid w:val="00F0489E"/>
    <w:rsid w:val="00F06BCD"/>
    <w:rsid w:val="00F10EB5"/>
    <w:rsid w:val="00F123C1"/>
    <w:rsid w:val="00F133AC"/>
    <w:rsid w:val="00F2200E"/>
    <w:rsid w:val="00F264E7"/>
    <w:rsid w:val="00F30293"/>
    <w:rsid w:val="00F30B49"/>
    <w:rsid w:val="00F30E01"/>
    <w:rsid w:val="00F32ABC"/>
    <w:rsid w:val="00F3766F"/>
    <w:rsid w:val="00F4090B"/>
    <w:rsid w:val="00F40D82"/>
    <w:rsid w:val="00F41786"/>
    <w:rsid w:val="00F41BE1"/>
    <w:rsid w:val="00F42679"/>
    <w:rsid w:val="00F435FB"/>
    <w:rsid w:val="00F43780"/>
    <w:rsid w:val="00F47E08"/>
    <w:rsid w:val="00F503F3"/>
    <w:rsid w:val="00F50AF0"/>
    <w:rsid w:val="00F51550"/>
    <w:rsid w:val="00F520D5"/>
    <w:rsid w:val="00F526DE"/>
    <w:rsid w:val="00F53245"/>
    <w:rsid w:val="00F563BC"/>
    <w:rsid w:val="00F60040"/>
    <w:rsid w:val="00F613EC"/>
    <w:rsid w:val="00F6543F"/>
    <w:rsid w:val="00F673DB"/>
    <w:rsid w:val="00F67C90"/>
    <w:rsid w:val="00F70490"/>
    <w:rsid w:val="00F77544"/>
    <w:rsid w:val="00F77F1D"/>
    <w:rsid w:val="00F9579D"/>
    <w:rsid w:val="00F96A5D"/>
    <w:rsid w:val="00F97350"/>
    <w:rsid w:val="00FA7AA9"/>
    <w:rsid w:val="00FB1315"/>
    <w:rsid w:val="00FB16E9"/>
    <w:rsid w:val="00FB2B0A"/>
    <w:rsid w:val="00FB2DC8"/>
    <w:rsid w:val="00FB6DC8"/>
    <w:rsid w:val="00FB7873"/>
    <w:rsid w:val="00FC081C"/>
    <w:rsid w:val="00FC15B1"/>
    <w:rsid w:val="00FC39BF"/>
    <w:rsid w:val="00FC7D04"/>
    <w:rsid w:val="00FD0C13"/>
    <w:rsid w:val="00FD21B5"/>
    <w:rsid w:val="00FD59E2"/>
    <w:rsid w:val="00FE7D1D"/>
    <w:rsid w:val="00FF04D4"/>
    <w:rsid w:val="00FF0A2F"/>
    <w:rsid w:val="00FF769F"/>
    <w:rsid w:val="00FF794D"/>
    <w:rsid w:val="00FF7EA1"/>
    <w:rsid w:val="022E06D6"/>
    <w:rsid w:val="0236072E"/>
    <w:rsid w:val="0521DF99"/>
    <w:rsid w:val="0703A308"/>
    <w:rsid w:val="0EFCD1E3"/>
    <w:rsid w:val="12CD1B7D"/>
    <w:rsid w:val="13848ACB"/>
    <w:rsid w:val="194BBEE1"/>
    <w:rsid w:val="19A00363"/>
    <w:rsid w:val="1A5F2A63"/>
    <w:rsid w:val="1AA1A16E"/>
    <w:rsid w:val="1BFAFAC4"/>
    <w:rsid w:val="26911915"/>
    <w:rsid w:val="27C662A3"/>
    <w:rsid w:val="298DF7AC"/>
    <w:rsid w:val="308CE85D"/>
    <w:rsid w:val="326B466D"/>
    <w:rsid w:val="32E8BF99"/>
    <w:rsid w:val="32F78A1A"/>
    <w:rsid w:val="3646D313"/>
    <w:rsid w:val="3672F2DB"/>
    <w:rsid w:val="3FA0F044"/>
    <w:rsid w:val="3FD60D22"/>
    <w:rsid w:val="40FF483E"/>
    <w:rsid w:val="4158B526"/>
    <w:rsid w:val="4205E7F0"/>
    <w:rsid w:val="50C54B5C"/>
    <w:rsid w:val="5176C676"/>
    <w:rsid w:val="51DA3704"/>
    <w:rsid w:val="522C84BD"/>
    <w:rsid w:val="5243C57B"/>
    <w:rsid w:val="52611BBD"/>
    <w:rsid w:val="531116B1"/>
    <w:rsid w:val="57E607FA"/>
    <w:rsid w:val="58D05D41"/>
    <w:rsid w:val="5AD90BDC"/>
    <w:rsid w:val="61481C87"/>
    <w:rsid w:val="641AFD6E"/>
    <w:rsid w:val="65DBA31C"/>
    <w:rsid w:val="67E32460"/>
    <w:rsid w:val="68EE6E91"/>
    <w:rsid w:val="6A8A3EF2"/>
    <w:rsid w:val="6C74B935"/>
    <w:rsid w:val="6DAA377D"/>
    <w:rsid w:val="6FA9786C"/>
    <w:rsid w:val="71787E76"/>
    <w:rsid w:val="74197901"/>
    <w:rsid w:val="744DDF20"/>
    <w:rsid w:val="7549B978"/>
    <w:rsid w:val="75B54962"/>
    <w:rsid w:val="76E589D9"/>
    <w:rsid w:val="7CF97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A8A17"/>
  <w15:chartTrackingRefBased/>
  <w15:docId w15:val="{0BC1E32B-B830-4CD0-BC03-BD562BBB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834"/>
  </w:style>
  <w:style w:type="paragraph" w:styleId="Footer">
    <w:name w:val="footer"/>
    <w:basedOn w:val="Normal"/>
    <w:link w:val="FooterChar"/>
    <w:uiPriority w:val="99"/>
    <w:unhideWhenUsed/>
    <w:rsid w:val="00616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834"/>
  </w:style>
  <w:style w:type="paragraph" w:styleId="ListParagraph">
    <w:name w:val="List Paragraph"/>
    <w:basedOn w:val="Normal"/>
    <w:uiPriority w:val="34"/>
    <w:qFormat/>
    <w:rsid w:val="00616834"/>
    <w:pPr>
      <w:ind w:left="720"/>
      <w:contextualSpacing/>
    </w:pPr>
  </w:style>
  <w:style w:type="paragraph" w:styleId="Revision">
    <w:name w:val="Revision"/>
    <w:hidden/>
    <w:uiPriority w:val="99"/>
    <w:semiHidden/>
    <w:rsid w:val="00A51DEA"/>
    <w:pPr>
      <w:spacing w:after="0" w:line="240" w:lineRule="auto"/>
    </w:pPr>
    <w:rPr>
      <w:sz w:val="22"/>
      <w:szCs w:val="22"/>
      <w:lang w:eastAsia="en-US"/>
    </w:rPr>
  </w:style>
  <w:style w:type="paragraph" w:styleId="NoSpacing">
    <w:name w:val="No Spacing"/>
    <w:uiPriority w:val="1"/>
    <w:qFormat/>
    <w:rsid w:val="00D4738E"/>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144">
      <w:bodyDiv w:val="1"/>
      <w:marLeft w:val="0"/>
      <w:marRight w:val="0"/>
      <w:marTop w:val="0"/>
      <w:marBottom w:val="0"/>
      <w:divBdr>
        <w:top w:val="none" w:sz="0" w:space="0" w:color="auto"/>
        <w:left w:val="none" w:sz="0" w:space="0" w:color="auto"/>
        <w:bottom w:val="none" w:sz="0" w:space="0" w:color="auto"/>
        <w:right w:val="none" w:sz="0" w:space="0" w:color="auto"/>
      </w:divBdr>
    </w:div>
    <w:div w:id="118380984">
      <w:bodyDiv w:val="1"/>
      <w:marLeft w:val="0"/>
      <w:marRight w:val="0"/>
      <w:marTop w:val="0"/>
      <w:marBottom w:val="0"/>
      <w:divBdr>
        <w:top w:val="none" w:sz="0" w:space="0" w:color="auto"/>
        <w:left w:val="none" w:sz="0" w:space="0" w:color="auto"/>
        <w:bottom w:val="none" w:sz="0" w:space="0" w:color="auto"/>
        <w:right w:val="none" w:sz="0" w:space="0" w:color="auto"/>
      </w:divBdr>
    </w:div>
    <w:div w:id="1234313808">
      <w:bodyDiv w:val="1"/>
      <w:marLeft w:val="0"/>
      <w:marRight w:val="0"/>
      <w:marTop w:val="0"/>
      <w:marBottom w:val="0"/>
      <w:divBdr>
        <w:top w:val="none" w:sz="0" w:space="0" w:color="auto"/>
        <w:left w:val="none" w:sz="0" w:space="0" w:color="auto"/>
        <w:bottom w:val="none" w:sz="0" w:space="0" w:color="auto"/>
        <w:right w:val="none" w:sz="0" w:space="0" w:color="auto"/>
      </w:divBdr>
    </w:div>
    <w:div w:id="1243563995">
      <w:bodyDiv w:val="1"/>
      <w:marLeft w:val="0"/>
      <w:marRight w:val="0"/>
      <w:marTop w:val="0"/>
      <w:marBottom w:val="0"/>
      <w:divBdr>
        <w:top w:val="none" w:sz="0" w:space="0" w:color="auto"/>
        <w:left w:val="none" w:sz="0" w:space="0" w:color="auto"/>
        <w:bottom w:val="none" w:sz="0" w:space="0" w:color="auto"/>
        <w:right w:val="none" w:sz="0" w:space="0" w:color="auto"/>
      </w:divBdr>
    </w:div>
    <w:div w:id="1708293770">
      <w:bodyDiv w:val="1"/>
      <w:marLeft w:val="0"/>
      <w:marRight w:val="0"/>
      <w:marTop w:val="0"/>
      <w:marBottom w:val="0"/>
      <w:divBdr>
        <w:top w:val="none" w:sz="0" w:space="0" w:color="auto"/>
        <w:left w:val="none" w:sz="0" w:space="0" w:color="auto"/>
        <w:bottom w:val="none" w:sz="0" w:space="0" w:color="auto"/>
        <w:right w:val="none" w:sz="0" w:space="0" w:color="auto"/>
      </w:divBdr>
    </w:div>
    <w:div w:id="210082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5B48453E5E24C80647C0170B37327" ma:contentTypeVersion="16" ma:contentTypeDescription="Create a new document." ma:contentTypeScope="" ma:versionID="dec409045cd3283bee8f61414f8d04f0">
  <xsd:schema xmlns:xsd="http://www.w3.org/2001/XMLSchema" xmlns:xs="http://www.w3.org/2001/XMLSchema" xmlns:p="http://schemas.microsoft.com/office/2006/metadata/properties" xmlns:ns2="cbe32191-ed32-4252-8a5e-0d7e55a9fc67" xmlns:ns3="7beb88a6-f6b4-4fc8-a45c-a23bdd126901" targetNamespace="http://schemas.microsoft.com/office/2006/metadata/properties" ma:root="true" ma:fieldsID="7a7c7db185be4c7ddedbdb1694f29b85" ns2:_="" ns3:_="">
    <xsd:import namespace="cbe32191-ed32-4252-8a5e-0d7e55a9fc67"/>
    <xsd:import namespace="7beb88a6-f6b4-4fc8-a45c-a23bdd126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32191-ed32-4252-8a5e-0d7e55a9f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4b7c1e-0e49-413d-a31c-ddc0bfaf18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88a6-f6b4-4fc8-a45c-a23bdd1269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3b18a7-e0ca-4b12-960b-8722cacc4515}" ma:internalName="TaxCatchAll" ma:showField="CatchAllData" ma:web="7beb88a6-f6b4-4fc8-a45c-a23bdd126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e32191-ed32-4252-8a5e-0d7e55a9fc67">
      <Terms xmlns="http://schemas.microsoft.com/office/infopath/2007/PartnerControls"/>
    </lcf76f155ced4ddcb4097134ff3c332f>
    <TaxCatchAll xmlns="7beb88a6-f6b4-4fc8-a45c-a23bdd1269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90031-A418-4EBA-A7E5-A6C2AAA14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32191-ed32-4252-8a5e-0d7e55a9fc67"/>
    <ds:schemaRef ds:uri="7beb88a6-f6b4-4fc8-a45c-a23bdd126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DA57C-889C-49D5-96E3-5AB4C37DA780}">
  <ds:schemaRefs>
    <ds:schemaRef ds:uri="http://schemas.microsoft.com/office/2006/metadata/properties"/>
    <ds:schemaRef ds:uri="http://schemas.microsoft.com/office/infopath/2007/PartnerControls"/>
    <ds:schemaRef ds:uri="cbe32191-ed32-4252-8a5e-0d7e55a9fc67"/>
    <ds:schemaRef ds:uri="7beb88a6-f6b4-4fc8-a45c-a23bdd126901"/>
  </ds:schemaRefs>
</ds:datastoreItem>
</file>

<file path=customXml/itemProps3.xml><?xml version="1.0" encoding="utf-8"?>
<ds:datastoreItem xmlns:ds="http://schemas.openxmlformats.org/officeDocument/2006/customXml" ds:itemID="{BE60D2D5-92EB-48EC-8EF9-84935833AC6A}">
  <ds:schemaRefs>
    <ds:schemaRef ds:uri="http://schemas.microsoft.com/sharepoint/v3/contenttype/forms"/>
  </ds:schemaRefs>
</ds:datastoreItem>
</file>

<file path=customXml/itemProps4.xml><?xml version="1.0" encoding="utf-8"?>
<ds:datastoreItem xmlns:ds="http://schemas.openxmlformats.org/officeDocument/2006/customXml" ds:itemID="{C8C0C579-A4FD-4885-806E-FC3655AB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737</Words>
  <Characters>3902</Characters>
  <Application>Microsoft Office Word</Application>
  <DocSecurity>0</DocSecurity>
  <Lines>156</Lines>
  <Paragraphs>113</Paragraphs>
  <ScaleCrop>false</ScaleCrop>
  <HeadingPairs>
    <vt:vector size="2" baseType="variant">
      <vt:variant>
        <vt:lpstr>Title</vt:lpstr>
      </vt:variant>
      <vt:variant>
        <vt:i4>1</vt:i4>
      </vt:variant>
    </vt:vector>
  </HeadingPairs>
  <TitlesOfParts>
    <vt:vector size="1" baseType="lpstr">
      <vt:lpstr/>
    </vt:vector>
  </TitlesOfParts>
  <Company>The College of Richard Collyer</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Bromley</dc:creator>
  <cp:keywords/>
  <dc:description/>
  <cp:lastModifiedBy>Laura Foskett (HLA)</cp:lastModifiedBy>
  <cp:revision>7</cp:revision>
  <cp:lastPrinted>2026-03-03T15:24:00Z</cp:lastPrinted>
  <dcterms:created xsi:type="dcterms:W3CDTF">2026-03-26T10:10:00Z</dcterms:created>
  <dcterms:modified xsi:type="dcterms:W3CDTF">2026-03-26T10:20:00Z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0x01010032C5B48453E5E24C80647C0170B37327</vt:lpwstr>
  </property>
  <property fmtid="{D5CDD505-2E9C-101B-9397-08002B2CF9AE}" pid="3" name="MediaServiceImageTags">
    <vt:lpwstr/>
  </property>
</Properties>
</file>